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sz w:val="36"/>
          <w:szCs w:val="36"/>
        </w:rPr>
      </w:pPr>
      <w:r>
        <w:rPr>
          <w:rFonts w:hint="eastAsia" w:ascii="宋体" w:hAnsi="宋体" w:eastAsia="宋体" w:cs="宋体"/>
          <w:b/>
          <w:bCs/>
          <w:sz w:val="36"/>
          <w:szCs w:val="36"/>
        </w:rPr>
        <w:t>宁德市汇聚私募基金管理有限公司关于专业业务顾问服务采购项目公开招标中标公告</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sz w:val="36"/>
          <w:szCs w:val="36"/>
        </w:rPr>
      </w:pPr>
    </w:p>
    <w:p>
      <w:pPr>
        <w:keepNext w:val="0"/>
        <w:keepLines w:val="0"/>
        <w:pageBreakBefore w:val="0"/>
        <w:widowControl w:val="0"/>
        <w:numPr>
          <w:ilvl w:val="0"/>
          <w:numId w:val="1"/>
        </w:numPr>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b/>
          <w:bCs/>
          <w:sz w:val="21"/>
          <w:szCs w:val="21"/>
        </w:rPr>
        <w:t>项目编号</w:t>
      </w:r>
      <w:r>
        <w:rPr>
          <w:rFonts w:hint="eastAsia" w:ascii="宋体" w:hAnsi="宋体" w:eastAsia="宋体" w:cs="宋体"/>
          <w:sz w:val="21"/>
          <w:szCs w:val="21"/>
        </w:rPr>
        <w:t>：NDYXCQ[GK]2023041（2）</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b/>
          <w:bCs/>
          <w:sz w:val="21"/>
          <w:szCs w:val="21"/>
        </w:rPr>
        <w:t>二、项目名称</w:t>
      </w:r>
      <w:r>
        <w:rPr>
          <w:rFonts w:hint="eastAsia" w:ascii="宋体" w:hAnsi="宋体" w:eastAsia="宋体" w:cs="宋体"/>
          <w:sz w:val="21"/>
          <w:szCs w:val="21"/>
        </w:rPr>
        <w:t>：专业业务顾问服务采购项目</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b/>
          <w:bCs/>
          <w:sz w:val="21"/>
          <w:szCs w:val="21"/>
        </w:rPr>
      </w:pPr>
      <w:r>
        <w:rPr>
          <w:rFonts w:hint="eastAsia" w:ascii="宋体" w:hAnsi="宋体" w:eastAsia="宋体" w:cs="宋体"/>
          <w:b/>
          <w:bCs/>
          <w:sz w:val="21"/>
          <w:szCs w:val="21"/>
        </w:rPr>
        <w:t>三、中标（成交）信息</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供应商名称：国泰君安财务顾问有限责任公司</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供应商地址：上海市静安区延平路135号506室</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中标</w:t>
      </w:r>
      <w:r>
        <w:rPr>
          <w:rFonts w:hint="eastAsia" w:ascii="宋体" w:hAnsi="宋体" w:eastAsia="宋体" w:cs="宋体"/>
          <w:sz w:val="21"/>
          <w:szCs w:val="21"/>
          <w:lang w:val="en-US" w:eastAsia="zh-CN"/>
        </w:rPr>
        <w:t>价（中标汇率）</w:t>
      </w:r>
      <w:r>
        <w:rPr>
          <w:rFonts w:hint="eastAsia" w:ascii="宋体" w:hAnsi="宋体" w:eastAsia="宋体" w:cs="宋体"/>
          <w:sz w:val="21"/>
          <w:szCs w:val="21"/>
        </w:rPr>
        <w:t>：85.00%</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b/>
          <w:bCs/>
          <w:sz w:val="21"/>
          <w:szCs w:val="21"/>
        </w:rPr>
      </w:pPr>
      <w:r>
        <w:rPr>
          <w:rFonts w:hint="eastAsia" w:ascii="宋体" w:hAnsi="宋体" w:eastAsia="宋体" w:cs="宋体"/>
          <w:b/>
          <w:bCs/>
          <w:sz w:val="21"/>
          <w:szCs w:val="21"/>
        </w:rPr>
        <w:t>四、主要标的信息</w:t>
      </w:r>
    </w:p>
    <w:tbl>
      <w:tblPr>
        <w:tblStyle w:val="5"/>
        <w:tblW w:w="9817" w:type="dxa"/>
        <w:tblInd w:w="-531" w:type="dxa"/>
        <w:tblBorders>
          <w:top w:val="outset" w:color="auto" w:sz="18" w:space="0"/>
          <w:left w:val="outset" w:color="auto" w:sz="18" w:space="0"/>
          <w:bottom w:val="outset" w:color="auto" w:sz="18" w:space="0"/>
          <w:right w:val="outset" w:color="auto" w:sz="18" w:space="0"/>
          <w:insideH w:val="outset" w:color="auto" w:sz="18" w:space="0"/>
          <w:insideV w:val="outset" w:color="auto" w:sz="18" w:space="0"/>
        </w:tblBorders>
        <w:shd w:val="clear" w:color="auto" w:fill="auto"/>
        <w:tblLayout w:type="fixed"/>
        <w:tblCellMar>
          <w:top w:w="0" w:type="dxa"/>
          <w:left w:w="0" w:type="dxa"/>
          <w:bottom w:w="0" w:type="dxa"/>
          <w:right w:w="0" w:type="dxa"/>
        </w:tblCellMar>
      </w:tblPr>
      <w:tblGrid>
        <w:gridCol w:w="594"/>
        <w:gridCol w:w="1192"/>
        <w:gridCol w:w="1059"/>
        <w:gridCol w:w="1559"/>
        <w:gridCol w:w="1681"/>
        <w:gridCol w:w="1565"/>
        <w:gridCol w:w="2167"/>
      </w:tblGrid>
      <w:tr>
        <w:tblPrEx>
          <w:tblBorders>
            <w:top w:val="outset" w:color="auto" w:sz="18" w:space="0"/>
            <w:left w:val="outset" w:color="auto" w:sz="18" w:space="0"/>
            <w:bottom w:val="outset" w:color="auto" w:sz="18" w:space="0"/>
            <w:right w:val="outset" w:color="auto" w:sz="18" w:space="0"/>
            <w:insideH w:val="outset" w:color="auto" w:sz="18" w:space="0"/>
            <w:insideV w:val="outset" w:color="auto" w:sz="18" w:space="0"/>
          </w:tblBorders>
          <w:shd w:val="clear" w:color="auto" w:fill="auto"/>
          <w:tblCellMar>
            <w:top w:w="0" w:type="dxa"/>
            <w:left w:w="0" w:type="dxa"/>
            <w:bottom w:w="0" w:type="dxa"/>
            <w:right w:w="0" w:type="dxa"/>
          </w:tblCellMar>
        </w:tblPrEx>
        <w:trPr>
          <w:trHeight w:val="594" w:hRule="atLeast"/>
        </w:trPr>
        <w:tc>
          <w:tcPr>
            <w:tcW w:w="594" w:type="dxa"/>
            <w:tcBorders>
              <w:top w:val="outset" w:color="auto" w:sz="4" w:space="0"/>
              <w:left w:val="outset" w:color="auto" w:sz="8" w:space="0"/>
              <w:bottom w:val="outset" w:color="auto" w:sz="8" w:space="0"/>
              <w:right w:val="outset"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序号</w:t>
            </w:r>
          </w:p>
        </w:tc>
        <w:tc>
          <w:tcPr>
            <w:tcW w:w="1192" w:type="dxa"/>
            <w:tcBorders>
              <w:top w:val="outset" w:color="auto" w:sz="4" w:space="0"/>
              <w:left w:val="outset" w:color="auto" w:sz="8" w:space="0"/>
              <w:bottom w:val="outset" w:color="auto" w:sz="8" w:space="0"/>
              <w:right w:val="outset"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供应商名称</w:t>
            </w:r>
          </w:p>
        </w:tc>
        <w:tc>
          <w:tcPr>
            <w:tcW w:w="1059" w:type="dxa"/>
            <w:tcBorders>
              <w:top w:val="outset" w:color="auto" w:sz="4" w:space="0"/>
              <w:left w:val="outset" w:color="auto" w:sz="8" w:space="0"/>
              <w:bottom w:val="outset" w:color="auto" w:sz="8" w:space="0"/>
              <w:right w:val="outset"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服务名称</w:t>
            </w:r>
          </w:p>
        </w:tc>
        <w:tc>
          <w:tcPr>
            <w:tcW w:w="1559" w:type="dxa"/>
            <w:tcBorders>
              <w:top w:val="outset" w:color="auto" w:sz="4" w:space="0"/>
              <w:left w:val="outset" w:color="auto" w:sz="8" w:space="0"/>
              <w:bottom w:val="outset" w:color="auto" w:sz="8" w:space="0"/>
              <w:right w:val="outset"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服务范围</w:t>
            </w:r>
          </w:p>
        </w:tc>
        <w:tc>
          <w:tcPr>
            <w:tcW w:w="1681" w:type="dxa"/>
            <w:tcBorders>
              <w:top w:val="outset" w:color="auto" w:sz="4" w:space="0"/>
              <w:left w:val="outset" w:color="auto" w:sz="8" w:space="0"/>
              <w:bottom w:val="outset" w:color="auto" w:sz="8" w:space="0"/>
              <w:right w:val="outset"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服务要求</w:t>
            </w:r>
          </w:p>
        </w:tc>
        <w:tc>
          <w:tcPr>
            <w:tcW w:w="1565" w:type="dxa"/>
            <w:tcBorders>
              <w:top w:val="outset" w:color="auto" w:sz="4" w:space="0"/>
              <w:left w:val="outset" w:color="auto" w:sz="8" w:space="0"/>
              <w:bottom w:val="outset" w:color="auto" w:sz="8" w:space="0"/>
              <w:right w:val="outset"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服务时间</w:t>
            </w:r>
          </w:p>
        </w:tc>
        <w:tc>
          <w:tcPr>
            <w:tcW w:w="2167" w:type="dxa"/>
            <w:tcBorders>
              <w:top w:val="outset" w:color="auto" w:sz="4" w:space="0"/>
              <w:left w:val="outset" w:color="auto" w:sz="8" w:space="0"/>
              <w:bottom w:val="outset" w:color="auto" w:sz="8" w:space="0"/>
              <w:right w:val="outset"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服务标准</w:t>
            </w:r>
          </w:p>
        </w:tc>
      </w:tr>
      <w:tr>
        <w:tblPrEx>
          <w:tblBorders>
            <w:top w:val="outset" w:color="auto" w:sz="18" w:space="0"/>
            <w:left w:val="outset" w:color="auto" w:sz="18" w:space="0"/>
            <w:bottom w:val="outset" w:color="auto" w:sz="18" w:space="0"/>
            <w:right w:val="outset" w:color="auto" w:sz="18" w:space="0"/>
            <w:insideH w:val="outset" w:color="auto" w:sz="18" w:space="0"/>
            <w:insideV w:val="outset" w:color="auto" w:sz="18" w:space="0"/>
          </w:tblBorders>
          <w:shd w:val="clear" w:color="auto" w:fill="auto"/>
          <w:tblCellMar>
            <w:top w:w="0" w:type="dxa"/>
            <w:left w:w="0" w:type="dxa"/>
            <w:bottom w:w="0" w:type="dxa"/>
            <w:right w:w="0" w:type="dxa"/>
          </w:tblCellMar>
        </w:tblPrEx>
        <w:trPr>
          <w:trHeight w:val="5926" w:hRule="atLeast"/>
        </w:trPr>
        <w:tc>
          <w:tcPr>
            <w:tcW w:w="594" w:type="dxa"/>
            <w:tcBorders>
              <w:top w:val="outset" w:color="auto" w:sz="4" w:space="0"/>
              <w:left w:val="outset" w:color="auto" w:sz="8" w:space="0"/>
              <w:bottom w:val="outset" w:color="auto" w:sz="8" w:space="0"/>
              <w:right w:val="outset"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1</w:t>
            </w:r>
          </w:p>
        </w:tc>
        <w:tc>
          <w:tcPr>
            <w:tcW w:w="1192" w:type="dxa"/>
            <w:tcBorders>
              <w:top w:val="outset" w:color="auto" w:sz="4" w:space="0"/>
              <w:left w:val="outset" w:color="auto" w:sz="8" w:space="0"/>
              <w:bottom w:val="outset" w:color="auto" w:sz="8" w:space="0"/>
              <w:right w:val="outset"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宋体" w:hAnsi="宋体" w:eastAsia="宋体" w:cs="宋体"/>
                <w:sz w:val="21"/>
                <w:szCs w:val="21"/>
              </w:rPr>
            </w:pPr>
            <w:r>
              <w:rPr>
                <w:rFonts w:hint="eastAsia" w:ascii="宋体" w:hAnsi="宋体" w:eastAsia="宋体" w:cs="宋体"/>
                <w:sz w:val="21"/>
                <w:szCs w:val="21"/>
              </w:rPr>
              <w:t>国泰君安财务顾问有限责任公司</w:t>
            </w:r>
          </w:p>
        </w:tc>
        <w:tc>
          <w:tcPr>
            <w:tcW w:w="1059" w:type="dxa"/>
            <w:tcBorders>
              <w:top w:val="outset" w:color="auto" w:sz="4" w:space="0"/>
              <w:left w:val="outset" w:color="auto" w:sz="8" w:space="0"/>
              <w:bottom w:val="outset" w:color="auto" w:sz="8" w:space="0"/>
              <w:right w:val="outset"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宋体" w:hAnsi="宋体" w:eastAsia="宋体" w:cs="宋体"/>
                <w:sz w:val="21"/>
                <w:szCs w:val="21"/>
              </w:rPr>
            </w:pPr>
            <w:r>
              <w:rPr>
                <w:rFonts w:hint="eastAsia" w:ascii="宋体" w:hAnsi="宋体" w:eastAsia="宋体" w:cs="宋体"/>
                <w:color w:val="auto"/>
                <w:kern w:val="0"/>
                <w:szCs w:val="21"/>
                <w:highlight w:val="none"/>
                <w:lang w:eastAsia="zh-CN"/>
              </w:rPr>
              <w:t>专业业务顾问服务</w:t>
            </w:r>
          </w:p>
        </w:tc>
        <w:tc>
          <w:tcPr>
            <w:tcW w:w="1559" w:type="dxa"/>
            <w:tcBorders>
              <w:top w:val="outset" w:color="auto" w:sz="4" w:space="0"/>
              <w:left w:val="outset" w:color="auto" w:sz="8" w:space="0"/>
              <w:bottom w:val="outset" w:color="auto" w:sz="8" w:space="0"/>
              <w:right w:val="outset" w:color="auto" w:sz="8" w:space="0"/>
            </w:tcBorders>
            <w:shd w:val="clear" w:color="auto" w:fill="auto"/>
            <w:vAlign w:val="center"/>
          </w:tcPr>
          <w:p>
            <w:pPr>
              <w:widowControl/>
              <w:spacing w:line="500" w:lineRule="exact"/>
              <w:jc w:val="left"/>
              <w:rPr>
                <w:rFonts w:hint="default" w:ascii="宋体" w:hAnsi="宋体" w:eastAsia="宋体" w:cs="宋体"/>
                <w:color w:val="auto"/>
                <w:sz w:val="21"/>
                <w:szCs w:val="21"/>
                <w:highlight w:val="none"/>
                <w:lang w:val="en-US" w:eastAsia="zh-CN"/>
              </w:rPr>
            </w:pPr>
            <w:r>
              <w:rPr>
                <w:rFonts w:hint="eastAsia" w:ascii="宋体" w:hAnsi="宋体" w:eastAsia="宋体" w:cs="宋体"/>
                <w:color w:val="auto"/>
                <w:szCs w:val="21"/>
                <w:highlight w:val="none"/>
              </w:rPr>
              <w:t>开展股权投资、并购项目</w:t>
            </w:r>
            <w:r>
              <w:rPr>
                <w:rFonts w:hint="eastAsia" w:ascii="宋体" w:hAnsi="宋体" w:eastAsia="宋体" w:cs="宋体"/>
                <w:color w:val="auto"/>
                <w:szCs w:val="21"/>
                <w:highlight w:val="none"/>
                <w:lang w:val="en-US" w:eastAsia="zh-CN"/>
              </w:rPr>
              <w:t>业务</w:t>
            </w:r>
            <w:r>
              <w:rPr>
                <w:rFonts w:hint="eastAsia" w:ascii="宋体" w:hAnsi="宋体" w:eastAsia="宋体" w:cs="宋体"/>
                <w:color w:val="auto"/>
                <w:szCs w:val="21"/>
                <w:highlight w:val="none"/>
              </w:rPr>
              <w:t>尽职调查并出具尽职调查报告</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提供项目相关</w:t>
            </w:r>
            <w:r>
              <w:rPr>
                <w:rFonts w:hint="eastAsia" w:ascii="宋体" w:hAnsi="宋体" w:eastAsia="宋体" w:cs="宋体"/>
                <w:color w:val="auto"/>
                <w:szCs w:val="21"/>
                <w:highlight w:val="none"/>
                <w:lang w:val="en-US" w:eastAsia="zh-CN"/>
              </w:rPr>
              <w:t>业务</w:t>
            </w:r>
            <w:r>
              <w:rPr>
                <w:rFonts w:hint="eastAsia" w:ascii="宋体" w:hAnsi="宋体" w:eastAsia="宋体" w:cs="宋体"/>
                <w:color w:val="auto"/>
                <w:szCs w:val="21"/>
                <w:highlight w:val="none"/>
              </w:rPr>
              <w:t>咨询</w:t>
            </w:r>
            <w:r>
              <w:rPr>
                <w:rFonts w:hint="eastAsia" w:ascii="宋体" w:hAnsi="宋体" w:eastAsia="宋体" w:cs="宋体"/>
                <w:color w:val="auto"/>
                <w:szCs w:val="21"/>
                <w:highlight w:val="none"/>
                <w:lang w:val="en-US" w:eastAsia="zh-CN"/>
              </w:rPr>
              <w:t>等，详见招标文件。</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jc w:val="both"/>
              <w:textAlignment w:val="auto"/>
              <w:rPr>
                <w:rFonts w:hint="eastAsia" w:ascii="宋体" w:hAnsi="宋体" w:eastAsia="宋体" w:cs="宋体"/>
                <w:sz w:val="21"/>
                <w:szCs w:val="21"/>
              </w:rPr>
            </w:pPr>
          </w:p>
        </w:tc>
        <w:tc>
          <w:tcPr>
            <w:tcW w:w="1681" w:type="dxa"/>
            <w:tcBorders>
              <w:top w:val="outset" w:color="auto" w:sz="4" w:space="0"/>
              <w:left w:val="outset" w:color="auto" w:sz="8" w:space="0"/>
              <w:bottom w:val="outset" w:color="auto" w:sz="8" w:space="0"/>
              <w:right w:val="outset"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default" w:ascii="宋体" w:hAnsi="宋体" w:eastAsia="宋体" w:cs="宋体"/>
                <w:sz w:val="21"/>
                <w:szCs w:val="21"/>
                <w:lang w:val="en-US" w:eastAsia="zh-CN"/>
              </w:rPr>
            </w:pPr>
            <w:r>
              <w:rPr>
                <w:rFonts w:hint="eastAsia" w:ascii="宋体" w:hAnsi="宋体" w:eastAsia="宋体" w:cs="宋体"/>
                <w:color w:val="auto"/>
                <w:spacing w:val="0"/>
                <w:sz w:val="21"/>
                <w:szCs w:val="21"/>
                <w:highlight w:val="none"/>
              </w:rPr>
              <w:t>为</w:t>
            </w:r>
            <w:r>
              <w:rPr>
                <w:rFonts w:hint="eastAsia" w:ascii="宋体" w:hAnsi="宋体" w:eastAsia="宋体" w:cs="宋体"/>
                <w:color w:val="auto"/>
                <w:spacing w:val="0"/>
                <w:sz w:val="21"/>
                <w:szCs w:val="21"/>
                <w:highlight w:val="none"/>
                <w:lang w:val="en-US" w:eastAsia="zh-CN"/>
              </w:rPr>
              <w:t>采购人的专业业务顾问服务项目</w:t>
            </w:r>
            <w:r>
              <w:rPr>
                <w:rFonts w:hint="eastAsia" w:ascii="宋体" w:hAnsi="宋体" w:eastAsia="宋体" w:cs="宋体"/>
                <w:color w:val="auto"/>
                <w:spacing w:val="0"/>
                <w:sz w:val="21"/>
                <w:szCs w:val="21"/>
                <w:highlight w:val="none"/>
              </w:rPr>
              <w:t>工作提供可靠的</w:t>
            </w:r>
            <w:r>
              <w:rPr>
                <w:rFonts w:hint="eastAsia" w:ascii="宋体" w:hAnsi="宋体" w:eastAsia="宋体" w:cs="宋体"/>
                <w:color w:val="auto"/>
                <w:spacing w:val="0"/>
                <w:sz w:val="21"/>
                <w:szCs w:val="21"/>
                <w:highlight w:val="none"/>
                <w:lang w:val="en-US" w:eastAsia="zh-CN"/>
              </w:rPr>
              <w:t>业务咨询</w:t>
            </w:r>
            <w:r>
              <w:rPr>
                <w:rFonts w:hint="eastAsia" w:ascii="宋体" w:hAnsi="宋体" w:eastAsia="宋体" w:cs="宋体"/>
                <w:color w:val="auto"/>
                <w:spacing w:val="0"/>
                <w:sz w:val="21"/>
                <w:szCs w:val="21"/>
                <w:highlight w:val="none"/>
              </w:rPr>
              <w:t>，指导</w:t>
            </w:r>
            <w:r>
              <w:rPr>
                <w:rFonts w:hint="eastAsia" w:ascii="宋体" w:hAnsi="宋体" w:eastAsia="宋体" w:cs="宋体"/>
                <w:color w:val="auto"/>
                <w:spacing w:val="0"/>
                <w:sz w:val="21"/>
                <w:szCs w:val="21"/>
                <w:highlight w:val="none"/>
                <w:lang w:val="en-US" w:eastAsia="zh-CN"/>
              </w:rPr>
              <w:t>采购人</w:t>
            </w:r>
            <w:r>
              <w:rPr>
                <w:rFonts w:hint="eastAsia" w:ascii="宋体" w:hAnsi="宋体" w:eastAsia="宋体" w:cs="宋体"/>
                <w:color w:val="auto"/>
                <w:spacing w:val="0"/>
                <w:sz w:val="21"/>
                <w:szCs w:val="21"/>
                <w:highlight w:val="none"/>
              </w:rPr>
              <w:t>采取预防措施规避风险。</w:t>
            </w:r>
            <w:r>
              <w:rPr>
                <w:rFonts w:hint="eastAsia" w:ascii="宋体" w:hAnsi="宋体" w:eastAsia="宋体" w:cs="宋体"/>
                <w:color w:val="auto"/>
                <w:spacing w:val="0"/>
                <w:sz w:val="21"/>
                <w:szCs w:val="21"/>
                <w:highlight w:val="none"/>
                <w:lang w:val="en-US" w:eastAsia="zh-CN"/>
              </w:rPr>
              <w:t>详见招标文件。</w:t>
            </w:r>
          </w:p>
        </w:tc>
        <w:tc>
          <w:tcPr>
            <w:tcW w:w="1565" w:type="dxa"/>
            <w:tcBorders>
              <w:top w:val="outset" w:color="auto" w:sz="4" w:space="0"/>
              <w:left w:val="outset" w:color="auto" w:sz="8" w:space="0"/>
              <w:bottom w:val="outset" w:color="auto" w:sz="8" w:space="0"/>
              <w:right w:val="outset" w:color="auto" w:sz="8" w:space="0"/>
            </w:tcBorders>
            <w:shd w:val="clear" w:color="auto" w:fill="auto"/>
            <w:vAlign w:val="center"/>
          </w:tcPr>
          <w:p>
            <w:pPr>
              <w:pStyle w:val="4"/>
              <w:widowControl/>
              <w:numPr>
                <w:ilvl w:val="0"/>
                <w:numId w:val="0"/>
              </w:numPr>
              <w:spacing w:before="75" w:beforeAutospacing="0" w:after="75" w:afterAutospacing="0"/>
              <w:rPr>
                <w:rFonts w:hint="eastAsia" w:ascii="宋体" w:hAnsi="宋体" w:eastAsia="宋体" w:cs="宋体"/>
                <w:bCs w:val="0"/>
                <w:color w:val="auto"/>
                <w:spacing w:val="10"/>
                <w:kern w:val="2"/>
                <w:sz w:val="21"/>
                <w:szCs w:val="21"/>
                <w:highlight w:val="none"/>
                <w:lang w:bidi="ar"/>
              </w:rPr>
            </w:pPr>
            <w:r>
              <w:rPr>
                <w:rFonts w:hint="eastAsia" w:ascii="宋体" w:hAnsi="宋体" w:eastAsia="宋体" w:cs="宋体"/>
                <w:bCs w:val="0"/>
                <w:color w:val="auto"/>
                <w:spacing w:val="10"/>
                <w:kern w:val="2"/>
                <w:sz w:val="21"/>
                <w:szCs w:val="21"/>
                <w:highlight w:val="none"/>
                <w:lang w:bidi="ar"/>
              </w:rPr>
              <w:t>采用为</w:t>
            </w:r>
            <w:r>
              <w:rPr>
                <w:rFonts w:hint="eastAsia" w:ascii="宋体" w:hAnsi="宋体" w:eastAsia="宋体" w:cs="宋体"/>
                <w:bCs w:val="0"/>
                <w:color w:val="auto"/>
                <w:spacing w:val="10"/>
                <w:kern w:val="2"/>
                <w:sz w:val="21"/>
                <w:szCs w:val="21"/>
                <w:highlight w:val="none"/>
                <w:lang w:val="en-US" w:eastAsia="zh-CN" w:bidi="ar"/>
              </w:rPr>
              <w:t>1</w:t>
            </w:r>
            <w:r>
              <w:rPr>
                <w:rFonts w:hint="eastAsia" w:ascii="宋体" w:hAnsi="宋体" w:eastAsia="宋体" w:cs="宋体"/>
                <w:bCs w:val="0"/>
                <w:color w:val="auto"/>
                <w:spacing w:val="10"/>
                <w:kern w:val="2"/>
                <w:sz w:val="21"/>
                <w:szCs w:val="21"/>
                <w:highlight w:val="none"/>
                <w:lang w:bidi="ar"/>
              </w:rPr>
              <w:t>+1</w:t>
            </w:r>
            <w:r>
              <w:rPr>
                <w:rFonts w:hint="eastAsia" w:ascii="宋体" w:hAnsi="宋体" w:eastAsia="宋体" w:cs="宋体"/>
                <w:bCs w:val="0"/>
                <w:color w:val="auto"/>
                <w:spacing w:val="10"/>
                <w:kern w:val="2"/>
                <w:sz w:val="21"/>
                <w:szCs w:val="21"/>
                <w:highlight w:val="none"/>
                <w:lang w:val="en-US" w:eastAsia="zh-CN" w:bidi="ar"/>
              </w:rPr>
              <w:t>+1</w:t>
            </w:r>
            <w:r>
              <w:rPr>
                <w:rFonts w:hint="eastAsia" w:ascii="宋体" w:hAnsi="宋体" w:eastAsia="宋体" w:cs="宋体"/>
                <w:bCs w:val="0"/>
                <w:color w:val="auto"/>
                <w:spacing w:val="10"/>
                <w:kern w:val="2"/>
                <w:sz w:val="21"/>
                <w:szCs w:val="21"/>
                <w:highlight w:val="none"/>
                <w:lang w:bidi="ar"/>
              </w:rPr>
              <w:t>年模式。</w:t>
            </w:r>
            <w:r>
              <w:rPr>
                <w:rFonts w:hint="eastAsia" w:ascii="宋体" w:hAnsi="宋体" w:eastAsia="宋体" w:cs="宋体"/>
                <w:color w:val="auto"/>
                <w:spacing w:val="0"/>
                <w:sz w:val="21"/>
                <w:szCs w:val="21"/>
                <w:highlight w:val="none"/>
                <w:lang w:val="en-US" w:eastAsia="zh-CN"/>
              </w:rPr>
              <w:t>详见招标文件。</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jc w:val="both"/>
              <w:textAlignment w:val="auto"/>
              <w:rPr>
                <w:rFonts w:hint="eastAsia" w:ascii="宋体" w:hAnsi="宋体" w:eastAsia="宋体" w:cs="宋体"/>
                <w:sz w:val="21"/>
                <w:szCs w:val="21"/>
              </w:rPr>
            </w:pPr>
          </w:p>
        </w:tc>
        <w:tc>
          <w:tcPr>
            <w:tcW w:w="2167" w:type="dxa"/>
            <w:tcBorders>
              <w:top w:val="outset" w:color="auto" w:sz="4" w:space="0"/>
              <w:left w:val="outset" w:color="auto" w:sz="8" w:space="0"/>
              <w:bottom w:val="outset" w:color="auto" w:sz="8" w:space="0"/>
              <w:right w:val="outset"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宋体" w:hAnsi="宋体" w:eastAsia="宋体" w:cs="宋体"/>
                <w:sz w:val="21"/>
                <w:szCs w:val="21"/>
              </w:rPr>
            </w:pPr>
            <w:r>
              <w:rPr>
                <w:rFonts w:hint="eastAsia" w:ascii="宋体" w:hAnsi="宋体" w:eastAsia="宋体" w:cs="宋体"/>
                <w:color w:val="auto"/>
                <w:spacing w:val="10"/>
                <w:kern w:val="2"/>
                <w:szCs w:val="21"/>
                <w:highlight w:val="none"/>
                <w:lang w:bidi="ar"/>
              </w:rPr>
              <w:t>中标人提供的服务按</w:t>
            </w:r>
            <w:r>
              <w:rPr>
                <w:rFonts w:hint="eastAsia" w:ascii="宋体" w:hAnsi="宋体" w:cs="宋体"/>
                <w:color w:val="auto"/>
                <w:kern w:val="0"/>
                <w:szCs w:val="21"/>
                <w:highlight w:val="none"/>
              </w:rPr>
              <w:t>《中华人民共和国反不正当竞争法》《关于禁止商业贿赂行为的暂行规定》</w:t>
            </w:r>
            <w:r>
              <w:rPr>
                <w:rFonts w:hint="eastAsia" w:ascii="宋体" w:hAnsi="宋体" w:cs="宋体"/>
                <w:color w:val="auto"/>
                <w:kern w:val="0"/>
                <w:szCs w:val="21"/>
                <w:highlight w:val="none"/>
                <w:lang w:val="en-US" w:eastAsia="zh-CN"/>
              </w:rPr>
              <w:t>等</w:t>
            </w:r>
            <w:r>
              <w:rPr>
                <w:rFonts w:hint="eastAsia" w:ascii="宋体" w:hAnsi="宋体" w:eastAsia="宋体" w:cs="宋体"/>
                <w:color w:val="auto"/>
                <w:spacing w:val="10"/>
                <w:kern w:val="2"/>
                <w:szCs w:val="21"/>
                <w:highlight w:val="none"/>
                <w:lang w:bidi="ar"/>
              </w:rPr>
              <w:t>国家或行业或地方标准、招标文件、投标文件等有关部分内容进行验收，验收结果应符合招标文件、合同相关条款及采购人使用要求。</w:t>
            </w:r>
            <w:r>
              <w:rPr>
                <w:rFonts w:hint="eastAsia" w:ascii="宋体" w:hAnsi="宋体" w:eastAsia="宋体" w:cs="宋体"/>
                <w:color w:val="auto"/>
                <w:spacing w:val="0"/>
                <w:sz w:val="21"/>
                <w:szCs w:val="21"/>
                <w:highlight w:val="none"/>
                <w:lang w:val="en-US" w:eastAsia="zh-CN"/>
              </w:rPr>
              <w:t>详见招标文件。</w:t>
            </w:r>
          </w:p>
        </w:tc>
      </w:tr>
    </w:tbl>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b/>
          <w:bCs/>
          <w:sz w:val="21"/>
          <w:szCs w:val="21"/>
        </w:rPr>
      </w:pPr>
      <w:r>
        <w:rPr>
          <w:rFonts w:hint="eastAsia" w:ascii="宋体" w:hAnsi="宋体" w:eastAsia="宋体" w:cs="宋体"/>
          <w:b/>
          <w:bCs/>
          <w:sz w:val="21"/>
          <w:szCs w:val="21"/>
          <w:lang w:val="en-US" w:eastAsia="zh-CN"/>
        </w:rPr>
        <w:t>五、</w:t>
      </w:r>
      <w:r>
        <w:rPr>
          <w:rFonts w:hint="eastAsia" w:ascii="宋体" w:hAnsi="宋体" w:eastAsia="宋体" w:cs="宋体"/>
          <w:b/>
          <w:bCs/>
          <w:sz w:val="21"/>
          <w:szCs w:val="21"/>
        </w:rPr>
        <w:t>评审专家（单一来源采购人员）名单：</w:t>
      </w:r>
    </w:p>
    <w:p>
      <w:pPr>
        <w:pStyle w:val="2"/>
        <w:numPr>
          <w:ilvl w:val="0"/>
          <w:numId w:val="0"/>
        </w:numPr>
        <w:jc w:val="both"/>
        <w:rPr>
          <w:rFonts w:hint="eastAsia" w:ascii="宋体" w:hAnsi="宋体" w:eastAsia="宋体" w:cs="宋体"/>
          <w:b w:val="0"/>
          <w:bCs w:val="0"/>
          <w:kern w:val="2"/>
          <w:sz w:val="21"/>
          <w:szCs w:val="21"/>
          <w:lang w:val="en-US" w:eastAsia="zh-CN" w:bidi="ar-SA"/>
        </w:rPr>
      </w:pPr>
      <w:r>
        <w:rPr>
          <w:rFonts w:hint="eastAsia" w:ascii="宋体" w:hAnsi="宋体" w:eastAsia="宋体" w:cs="宋体"/>
          <w:b w:val="0"/>
          <w:bCs w:val="0"/>
          <w:kern w:val="2"/>
          <w:sz w:val="21"/>
          <w:szCs w:val="21"/>
          <w:lang w:val="en-US" w:eastAsia="zh-CN" w:bidi="ar-SA"/>
        </w:rPr>
        <w:t>王文琼、黄陈春、周维秀、陈美春、陈新宇</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b/>
          <w:bCs/>
          <w:sz w:val="21"/>
          <w:szCs w:val="21"/>
        </w:rPr>
      </w:pPr>
      <w:r>
        <w:rPr>
          <w:rFonts w:hint="eastAsia" w:ascii="宋体" w:hAnsi="宋体" w:eastAsia="宋体" w:cs="宋体"/>
          <w:b/>
          <w:bCs/>
          <w:sz w:val="21"/>
          <w:szCs w:val="21"/>
        </w:rPr>
        <w:t>六、代理服务收费标准及金额：</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lang w:eastAsia="zh-CN"/>
        </w:rPr>
      </w:pPr>
      <w:r>
        <w:rPr>
          <w:rFonts w:hint="eastAsia" w:ascii="宋体" w:hAnsi="宋体" w:cs="宋体"/>
          <w:color w:val="auto"/>
          <w:sz w:val="21"/>
          <w:szCs w:val="21"/>
          <w:highlight w:val="none"/>
        </w:rPr>
        <w:t>本次</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代理服务费由</w:t>
      </w:r>
      <w:r>
        <w:rPr>
          <w:rFonts w:hint="eastAsia" w:ascii="宋体" w:hAnsi="宋体" w:cs="宋体"/>
          <w:color w:val="auto"/>
          <w:sz w:val="21"/>
          <w:szCs w:val="21"/>
          <w:highlight w:val="none"/>
          <w:lang w:val="en-US" w:eastAsia="zh-CN"/>
        </w:rPr>
        <w:t>中标人</w:t>
      </w:r>
      <w:r>
        <w:rPr>
          <w:rFonts w:hint="eastAsia" w:ascii="宋体" w:hAnsi="宋体" w:cs="宋体"/>
          <w:color w:val="auto"/>
          <w:sz w:val="21"/>
          <w:szCs w:val="21"/>
          <w:highlight w:val="none"/>
        </w:rPr>
        <w:t>支付</w:t>
      </w:r>
      <w:r>
        <w:rPr>
          <w:rFonts w:hint="eastAsia" w:ascii="宋体" w:hAnsi="宋体" w:cs="宋体"/>
          <w:color w:val="auto"/>
          <w:sz w:val="21"/>
          <w:szCs w:val="21"/>
          <w:highlight w:val="none"/>
          <w:lang w:eastAsia="zh-CN"/>
        </w:rPr>
        <w:t>，</w:t>
      </w:r>
      <w:r>
        <w:rPr>
          <w:rFonts w:hint="eastAsia" w:ascii="宋体" w:hAnsi="宋体" w:eastAsia="宋体" w:cs="宋体"/>
          <w:sz w:val="21"/>
          <w:szCs w:val="21"/>
        </w:rPr>
        <w:t>本项目代理费总金额：</w:t>
      </w:r>
      <w:r>
        <w:rPr>
          <w:rFonts w:hint="eastAsia" w:ascii="宋体" w:hAnsi="宋体" w:eastAsia="宋体" w:cs="宋体"/>
          <w:sz w:val="21"/>
          <w:szCs w:val="21"/>
          <w:lang w:val="en-US" w:eastAsia="zh-CN"/>
        </w:rPr>
        <w:t>0.9000</w:t>
      </w:r>
      <w:r>
        <w:rPr>
          <w:rFonts w:hint="eastAsia" w:ascii="宋体" w:hAnsi="宋体" w:eastAsia="宋体" w:cs="宋体"/>
          <w:sz w:val="21"/>
          <w:szCs w:val="21"/>
        </w:rPr>
        <w:t xml:space="preserve"> 万元（人民</w:t>
      </w:r>
      <w:bookmarkStart w:id="0" w:name="_GoBack"/>
      <w:bookmarkEnd w:id="0"/>
      <w:r>
        <w:rPr>
          <w:rFonts w:hint="eastAsia" w:ascii="宋体" w:hAnsi="宋体" w:eastAsia="宋体" w:cs="宋体"/>
          <w:sz w:val="21"/>
          <w:szCs w:val="21"/>
        </w:rPr>
        <w:t>币）</w:t>
      </w:r>
      <w:r>
        <w:rPr>
          <w:rFonts w:hint="eastAsia" w:ascii="宋体" w:hAnsi="宋体" w:eastAsia="宋体" w:cs="宋体"/>
          <w:sz w:val="21"/>
          <w:szCs w:val="21"/>
          <w:lang w:eastAsia="zh-CN"/>
        </w:rPr>
        <w:t>。</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b/>
          <w:bCs/>
          <w:sz w:val="21"/>
          <w:szCs w:val="21"/>
        </w:rPr>
      </w:pPr>
      <w:r>
        <w:rPr>
          <w:rFonts w:hint="eastAsia" w:ascii="宋体" w:hAnsi="宋体" w:eastAsia="宋体" w:cs="宋体"/>
          <w:b/>
          <w:bCs/>
          <w:sz w:val="21"/>
          <w:szCs w:val="21"/>
        </w:rPr>
        <w:t>七、公告期限</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自本公告发布之日起1个工作日。</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b/>
          <w:bCs/>
          <w:sz w:val="21"/>
          <w:szCs w:val="21"/>
        </w:rPr>
      </w:pPr>
      <w:r>
        <w:rPr>
          <w:rFonts w:hint="eastAsia" w:ascii="宋体" w:hAnsi="宋体" w:eastAsia="宋体" w:cs="宋体"/>
          <w:b/>
          <w:bCs/>
          <w:sz w:val="21"/>
          <w:szCs w:val="21"/>
        </w:rPr>
        <w:t>八、其它补充事宜</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cs="宋体"/>
          <w:color w:val="auto"/>
          <w:kern w:val="0"/>
          <w:szCs w:val="21"/>
          <w:highlight w:val="none"/>
          <w:lang w:eastAsia="zh-CN"/>
        </w:rPr>
      </w:pPr>
      <w:r>
        <w:rPr>
          <w:rFonts w:hint="eastAsia" w:ascii="宋体" w:hAnsi="宋体" w:cs="宋体"/>
          <w:color w:val="auto"/>
          <w:kern w:val="0"/>
          <w:szCs w:val="21"/>
          <w:highlight w:val="none"/>
          <w:lang w:eastAsia="zh-CN"/>
        </w:rPr>
        <w:t>凯盛融英信息科技（上海）股份有限公司未按要求提供完整的单位授权书材料，未按要求提供完整的财务报告证明材料，未按要求提供业绩证明材料，其资格审查不通过；福建君融达股权投资有限公司未按要求提供业绩证明材料，其资格审查不通过；</w:t>
      </w:r>
      <w:r>
        <w:rPr>
          <w:rFonts w:hint="eastAsia" w:ascii="宋体" w:hAnsi="宋体" w:cs="宋体"/>
          <w:color w:val="auto"/>
          <w:kern w:val="0"/>
          <w:szCs w:val="21"/>
          <w:highlight w:val="none"/>
          <w:lang w:val="en-US" w:eastAsia="zh-CN"/>
        </w:rPr>
        <w:t>其余供应商</w:t>
      </w:r>
      <w:r>
        <w:rPr>
          <w:rFonts w:hint="eastAsia" w:ascii="宋体" w:hAnsi="宋体" w:cs="宋体"/>
          <w:color w:val="auto"/>
          <w:kern w:val="0"/>
          <w:szCs w:val="21"/>
          <w:highlight w:val="none"/>
          <w:lang w:eastAsia="zh-CN"/>
        </w:rPr>
        <w:t>的资格审查</w:t>
      </w:r>
      <w:r>
        <w:rPr>
          <w:rFonts w:hint="eastAsia" w:ascii="宋体" w:hAnsi="宋体" w:cs="宋体"/>
          <w:color w:val="auto"/>
          <w:kern w:val="0"/>
          <w:szCs w:val="21"/>
          <w:highlight w:val="none"/>
          <w:lang w:val="en-US" w:eastAsia="zh-CN"/>
        </w:rPr>
        <w:t>和</w:t>
      </w:r>
      <w:r>
        <w:rPr>
          <w:rFonts w:hint="eastAsia" w:ascii="宋体" w:hAnsi="宋体" w:cs="宋体"/>
          <w:color w:val="auto"/>
          <w:kern w:val="0"/>
          <w:szCs w:val="21"/>
          <w:highlight w:val="none"/>
          <w:lang w:eastAsia="zh-CN"/>
        </w:rPr>
        <w:t>投标文件的符合性审查均通过。</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b/>
          <w:bCs/>
          <w:sz w:val="21"/>
          <w:szCs w:val="21"/>
        </w:rPr>
      </w:pPr>
      <w:r>
        <w:rPr>
          <w:rFonts w:hint="eastAsia" w:ascii="宋体" w:hAnsi="宋体" w:eastAsia="宋体" w:cs="宋体"/>
          <w:b/>
          <w:bCs/>
          <w:sz w:val="21"/>
          <w:szCs w:val="21"/>
        </w:rPr>
        <w:t>九、凡对本次公告内容提出询问，请按以下方式联系。</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1.采购人信息</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highlight w:val="none"/>
          <w:shd w:val="clear" w:color="auto" w:fill="auto"/>
        </w:rPr>
      </w:pPr>
      <w:r>
        <w:rPr>
          <w:rFonts w:hint="eastAsia" w:ascii="宋体" w:hAnsi="宋体" w:eastAsia="宋体" w:cs="宋体"/>
          <w:sz w:val="21"/>
          <w:szCs w:val="21"/>
          <w:highlight w:val="none"/>
          <w:shd w:val="clear" w:color="auto" w:fill="auto"/>
        </w:rPr>
        <w:t>名 称：宁德市汇聚私募基金管理有限公司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highlight w:val="none"/>
          <w:shd w:val="clear" w:color="auto" w:fill="auto"/>
        </w:rPr>
      </w:pPr>
      <w:r>
        <w:rPr>
          <w:rFonts w:hint="eastAsia" w:ascii="宋体" w:hAnsi="宋体" w:eastAsia="宋体" w:cs="宋体"/>
          <w:sz w:val="21"/>
          <w:szCs w:val="21"/>
          <w:highlight w:val="none"/>
          <w:shd w:val="clear" w:color="auto" w:fill="auto"/>
        </w:rPr>
        <w:t>地址：福建省宁德市东侨经济开发区正大路4号金禾大厦10层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highlight w:val="none"/>
          <w:shd w:val="clear" w:color="auto" w:fill="auto"/>
        </w:rPr>
        <w:t>联系方式：陈先生0593-2556365　　　　　　</w:t>
      </w:r>
      <w:r>
        <w:rPr>
          <w:rFonts w:hint="eastAsia" w:ascii="宋体" w:hAnsi="宋体" w:eastAsia="宋体" w:cs="宋体"/>
          <w:sz w:val="21"/>
          <w:szCs w:val="21"/>
        </w:rPr>
        <w:t>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2.采购代理机构信息</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名 称：宁德市有信产权交易服务有限公司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地　址：宁德市东侨经济技术开发区金禾商务中心12层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联系方式：</w:t>
      </w:r>
      <w:r>
        <w:rPr>
          <w:rFonts w:hint="eastAsia" w:ascii="宋体" w:hAnsi="宋体" w:eastAsia="宋体" w:cs="宋体"/>
          <w:sz w:val="21"/>
          <w:szCs w:val="21"/>
          <w:lang w:val="en-US" w:eastAsia="zh-CN"/>
        </w:rPr>
        <w:t>韦</w:t>
      </w:r>
      <w:r>
        <w:rPr>
          <w:rFonts w:hint="eastAsia" w:ascii="宋体" w:hAnsi="宋体" w:eastAsia="宋体" w:cs="宋体"/>
          <w:sz w:val="21"/>
          <w:szCs w:val="21"/>
        </w:rPr>
        <w:t>女士0593-2292676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3.项目联系方式</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项目联系人：</w:t>
      </w:r>
      <w:r>
        <w:rPr>
          <w:rFonts w:hint="eastAsia" w:ascii="宋体" w:hAnsi="宋体" w:eastAsia="宋体" w:cs="宋体"/>
          <w:sz w:val="21"/>
          <w:szCs w:val="21"/>
          <w:lang w:val="en-US" w:eastAsia="zh-CN"/>
        </w:rPr>
        <w:t>韦</w:t>
      </w:r>
      <w:r>
        <w:rPr>
          <w:rFonts w:hint="eastAsia" w:ascii="宋体" w:hAnsi="宋体" w:eastAsia="宋体" w:cs="宋体"/>
          <w:sz w:val="21"/>
          <w:szCs w:val="21"/>
        </w:rPr>
        <w:t>女士</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电　话：0593-2292676</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p>
    <w:p>
      <w:pPr>
        <w:keepNext w:val="0"/>
        <w:keepLines w:val="0"/>
        <w:pageBreakBefore w:val="0"/>
        <w:widowControl w:val="0"/>
        <w:kinsoku/>
        <w:wordWrap/>
        <w:overflowPunct/>
        <w:topLinePunct w:val="0"/>
        <w:autoSpaceDE/>
        <w:autoSpaceDN/>
        <w:bidi w:val="0"/>
        <w:adjustRightInd/>
        <w:snapToGrid/>
        <w:spacing w:line="500" w:lineRule="exact"/>
        <w:jc w:val="right"/>
        <w:textAlignment w:val="auto"/>
        <w:rPr>
          <w:rFonts w:hint="default" w:ascii="宋体" w:hAnsi="宋体" w:eastAsia="宋体" w:cs="宋体"/>
          <w:sz w:val="21"/>
          <w:szCs w:val="21"/>
          <w:lang w:val="en-US" w:eastAsia="zh-CN"/>
        </w:rPr>
      </w:pPr>
    </w:p>
    <w:sectPr>
      <w:pgSz w:w="11906" w:h="16838"/>
      <w:pgMar w:top="1440" w:right="1134"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decorative"/>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7731284"/>
    <w:multiLevelType w:val="singleLevel"/>
    <w:tmpl w:val="A7731284"/>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I3Mzk4MjNhMGQxNjIwZDA4MTY0NjgzZDIxOTc5NzAifQ=="/>
  </w:docVars>
  <w:rsids>
    <w:rsidRoot w:val="0104551D"/>
    <w:rsid w:val="0104551D"/>
    <w:rsid w:val="02BD1EA7"/>
    <w:rsid w:val="62D26D7C"/>
    <w:rsid w:val="733C5825"/>
    <w:rsid w:val="79766D8C"/>
    <w:rsid w:val="7BFB759F"/>
    <w:rsid w:val="7EA110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autoRedefine/>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Title"/>
    <w:basedOn w:val="1"/>
    <w:next w:val="1"/>
    <w:autoRedefine/>
    <w:qFormat/>
    <w:uiPriority w:val="0"/>
    <w:pPr>
      <w:widowControl w:val="0"/>
      <w:spacing w:before="240" w:after="60"/>
      <w:jc w:val="center"/>
      <w:outlineLvl w:val="0"/>
    </w:pPr>
    <w:rPr>
      <w:rFonts w:ascii="Cambria" w:hAnsi="Cambria"/>
      <w:b/>
      <w:bCs/>
      <w:kern w:val="2"/>
      <w:sz w:val="32"/>
      <w:szCs w:val="32"/>
      <w:lang w:val="en-US" w:eastAsia="zh-CN" w:bidi="ar-SA"/>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styleId="7">
    <w:name w:val="Strong"/>
    <w:basedOn w:val="6"/>
    <w:autoRedefine/>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2023-12-19T10:42:00Z</dcterms:created>
  <dc:creator>诿棠诖茁痈</dc:creator>
  <cp:lastModifiedBy>留档</cp:lastModifiedBy>
  <dcterms:modified xsi:type="dcterms:W3CDTF">2024-01-24T01:26:38Z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20C9DF46B85540099D9F16116B9E0948_13</vt:lpwstr>
  </property>
</Properties>
</file>