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8DD15C">
      <w:pPr>
        <w:pStyle w:val="26"/>
        <w:jc w:val="center"/>
        <w:outlineLvl w:val="0"/>
        <w:rPr>
          <w:rFonts w:hint="eastAsia"/>
          <w:b/>
          <w:color w:val="auto"/>
          <w:sz w:val="84"/>
          <w:szCs w:val="84"/>
          <w:lang w:bidi="ar-SA"/>
        </w:rPr>
      </w:pPr>
      <w:bookmarkStart w:id="0" w:name="福建省政府采购"/>
      <w:bookmarkEnd w:id="0"/>
    </w:p>
    <w:p w14:paraId="3E6B22D5">
      <w:pPr>
        <w:pStyle w:val="6"/>
        <w:ind w:left="0" w:leftChars="0" w:firstLine="0" w:firstLineChars="0"/>
        <w:rPr>
          <w:rFonts w:hint="eastAsia" w:asciiTheme="minorEastAsia" w:hAnsiTheme="minorEastAsia" w:eastAsiaTheme="minorEastAsia" w:cstheme="minorEastAsia"/>
          <w:b/>
          <w:color w:val="auto"/>
          <w:sz w:val="52"/>
        </w:rPr>
      </w:pPr>
    </w:p>
    <w:p w14:paraId="5AC3E1C7">
      <w:pPr>
        <w:pStyle w:val="6"/>
        <w:rPr>
          <w:rFonts w:hint="eastAsia" w:asciiTheme="minorEastAsia" w:hAnsiTheme="minorEastAsia" w:eastAsiaTheme="minorEastAsia" w:cstheme="minorEastAsia"/>
          <w:b/>
          <w:color w:val="auto"/>
          <w:sz w:val="52"/>
        </w:rPr>
      </w:pPr>
    </w:p>
    <w:p w14:paraId="5DF990C6">
      <w:pPr>
        <w:pStyle w:val="26"/>
        <w:jc w:val="center"/>
        <w:outlineLvl w:val="0"/>
        <w:rPr>
          <w:rFonts w:hint="eastAsia"/>
          <w:b/>
          <w:color w:val="auto"/>
          <w:sz w:val="84"/>
          <w:szCs w:val="84"/>
          <w:lang w:bidi="ar-SA"/>
        </w:rPr>
      </w:pPr>
      <w:r>
        <w:rPr>
          <w:rFonts w:hint="eastAsia"/>
          <w:b/>
          <w:color w:val="auto"/>
          <w:sz w:val="84"/>
          <w:szCs w:val="84"/>
          <w:lang w:eastAsia="zh-CN" w:bidi="ar-SA"/>
        </w:rPr>
        <w:t>预公告</w:t>
      </w:r>
      <w:r>
        <w:rPr>
          <w:rFonts w:hint="eastAsia"/>
          <w:b/>
          <w:color w:val="auto"/>
          <w:sz w:val="84"/>
          <w:szCs w:val="84"/>
          <w:lang w:bidi="ar-SA"/>
        </w:rPr>
        <w:t>招标文件</w:t>
      </w:r>
    </w:p>
    <w:p w14:paraId="164C3274">
      <w:pPr>
        <w:spacing w:before="162"/>
        <w:ind w:left="220" w:right="0" w:firstLine="0"/>
        <w:jc w:val="left"/>
        <w:rPr>
          <w:rFonts w:hint="eastAsia" w:asciiTheme="minorEastAsia" w:hAnsiTheme="minorEastAsia" w:eastAsiaTheme="minorEastAsia" w:cstheme="minorEastAsia"/>
          <w:b/>
          <w:color w:val="auto"/>
          <w:sz w:val="36"/>
        </w:rPr>
      </w:pPr>
      <w:bookmarkStart w:id="1" w:name="项目名称：福建省消防救援总队龙岩支队“自然灾害应急能力提升工程”装备配备项目一"/>
      <w:bookmarkEnd w:id="1"/>
    </w:p>
    <w:p w14:paraId="7AD846BC">
      <w:pPr>
        <w:spacing w:before="162"/>
        <w:ind w:left="220" w:right="0" w:firstLine="0"/>
        <w:jc w:val="left"/>
        <w:rPr>
          <w:rFonts w:hint="eastAsia" w:asciiTheme="minorEastAsia" w:hAnsiTheme="minorEastAsia" w:eastAsiaTheme="minorEastAsia" w:cstheme="minorEastAsia"/>
          <w:b/>
          <w:color w:val="auto"/>
          <w:sz w:val="36"/>
        </w:rPr>
      </w:pPr>
      <w:bookmarkStart w:id="119" w:name="_GoBack"/>
      <w:bookmarkEnd w:id="119"/>
    </w:p>
    <w:p w14:paraId="6143A095">
      <w:pPr>
        <w:pStyle w:val="6"/>
        <w:rPr>
          <w:rFonts w:hint="eastAsia" w:asciiTheme="minorEastAsia" w:hAnsiTheme="minorEastAsia" w:eastAsiaTheme="minorEastAsia" w:cstheme="minorEastAsia"/>
          <w:b/>
          <w:color w:val="auto"/>
          <w:sz w:val="36"/>
        </w:rPr>
      </w:pPr>
    </w:p>
    <w:p w14:paraId="7BFCDD5E">
      <w:pPr>
        <w:pStyle w:val="6"/>
        <w:rPr>
          <w:rFonts w:hint="eastAsia" w:asciiTheme="minorEastAsia" w:hAnsiTheme="minorEastAsia" w:eastAsiaTheme="minorEastAsia" w:cstheme="minorEastAsia"/>
          <w:b/>
          <w:color w:val="auto"/>
          <w:sz w:val="36"/>
        </w:rPr>
      </w:pPr>
    </w:p>
    <w:p w14:paraId="020DFC20">
      <w:pPr>
        <w:spacing w:before="162" w:line="360" w:lineRule="auto"/>
        <w:ind w:left="220" w:right="0" w:firstLine="0"/>
        <w:jc w:val="center"/>
        <w:rPr>
          <w:rFonts w:hint="eastAsia" w:asciiTheme="minorEastAsia" w:hAnsiTheme="minorEastAsia" w:eastAsiaTheme="minorEastAsia" w:cstheme="minorEastAsia"/>
          <w:b/>
          <w:color w:val="auto"/>
          <w:sz w:val="36"/>
          <w:lang w:eastAsia="zh-CN"/>
        </w:rPr>
      </w:pPr>
      <w:r>
        <w:rPr>
          <w:rFonts w:hint="eastAsia" w:asciiTheme="minorEastAsia" w:hAnsiTheme="minorEastAsia" w:eastAsiaTheme="minorEastAsia" w:cstheme="minorEastAsia"/>
          <w:b/>
          <w:color w:val="auto"/>
          <w:sz w:val="36"/>
        </w:rPr>
        <w:t>项目名称：</w:t>
      </w:r>
      <w:bookmarkStart w:id="2" w:name="项目编号：FJZZGK(2024)001"/>
      <w:bookmarkEnd w:id="2"/>
      <w:r>
        <w:rPr>
          <w:rFonts w:hint="eastAsia" w:asciiTheme="minorEastAsia" w:hAnsiTheme="minorEastAsia" w:eastAsiaTheme="minorEastAsia" w:cstheme="minorEastAsia"/>
          <w:b/>
          <w:color w:val="auto"/>
          <w:sz w:val="36"/>
          <w:lang w:eastAsia="zh-CN"/>
        </w:rPr>
        <w:t>福安市市政及公共服务新型基础设施建设工程（公交车扩容工程）</w:t>
      </w:r>
    </w:p>
    <w:p w14:paraId="3B3A0F73">
      <w:pPr>
        <w:spacing w:before="162" w:line="360" w:lineRule="auto"/>
        <w:ind w:left="220" w:right="0" w:firstLine="0"/>
        <w:jc w:val="center"/>
        <w:rPr>
          <w:rFonts w:hint="eastAsia" w:asciiTheme="minorEastAsia" w:hAnsiTheme="minorEastAsia" w:eastAsiaTheme="minorEastAsia" w:cstheme="minorEastAsia"/>
          <w:b/>
          <w:color w:val="auto"/>
          <w:sz w:val="36"/>
          <w:lang w:eastAsia="zh-CN"/>
        </w:rPr>
      </w:pPr>
      <w:r>
        <w:rPr>
          <w:rFonts w:hint="eastAsia" w:asciiTheme="minorEastAsia" w:hAnsiTheme="minorEastAsia" w:eastAsiaTheme="minorEastAsia" w:cstheme="minorEastAsia"/>
          <w:b/>
          <w:color w:val="auto"/>
          <w:sz w:val="36"/>
        </w:rPr>
        <w:t>项目编号：</w:t>
      </w:r>
      <w:r>
        <w:rPr>
          <w:rFonts w:hint="eastAsia" w:asciiTheme="minorEastAsia" w:hAnsiTheme="minorEastAsia" w:eastAsiaTheme="minorEastAsia" w:cstheme="minorEastAsia"/>
          <w:b/>
          <w:color w:val="auto"/>
          <w:sz w:val="36"/>
          <w:lang w:eastAsia="zh-CN"/>
        </w:rPr>
        <w:t>NDRCCG2024035</w:t>
      </w:r>
    </w:p>
    <w:p w14:paraId="236B9822">
      <w:pPr>
        <w:spacing w:before="162" w:line="360" w:lineRule="auto"/>
        <w:ind w:left="220" w:right="0" w:firstLine="0"/>
        <w:jc w:val="left"/>
        <w:rPr>
          <w:rFonts w:hint="eastAsia" w:asciiTheme="minorEastAsia" w:hAnsiTheme="minorEastAsia" w:eastAsiaTheme="minorEastAsia" w:cstheme="minorEastAsia"/>
          <w:b/>
          <w:color w:val="auto"/>
          <w:sz w:val="36"/>
        </w:rPr>
      </w:pPr>
      <w:bookmarkStart w:id="3" w:name="采购人：龙岩市消防救援支队"/>
      <w:bookmarkEnd w:id="3"/>
    </w:p>
    <w:p w14:paraId="5922BE57">
      <w:pPr>
        <w:spacing w:before="162" w:line="360" w:lineRule="auto"/>
        <w:ind w:right="0"/>
        <w:jc w:val="left"/>
        <w:rPr>
          <w:rFonts w:hint="eastAsia" w:asciiTheme="minorEastAsia" w:hAnsiTheme="minorEastAsia" w:eastAsiaTheme="minorEastAsia" w:cstheme="minorEastAsia"/>
          <w:b/>
          <w:color w:val="auto"/>
          <w:sz w:val="36"/>
        </w:rPr>
      </w:pPr>
    </w:p>
    <w:p w14:paraId="34180444">
      <w:pPr>
        <w:spacing w:before="162" w:line="360" w:lineRule="auto"/>
        <w:ind w:right="0"/>
        <w:jc w:val="left"/>
        <w:rPr>
          <w:rFonts w:hint="eastAsia" w:asciiTheme="minorEastAsia" w:hAnsiTheme="minorEastAsia" w:eastAsiaTheme="minorEastAsia" w:cstheme="minorEastAsia"/>
          <w:b/>
          <w:color w:val="auto"/>
          <w:sz w:val="36"/>
        </w:rPr>
      </w:pPr>
    </w:p>
    <w:p w14:paraId="42189774">
      <w:pPr>
        <w:spacing w:before="162" w:line="360" w:lineRule="auto"/>
        <w:ind w:right="0"/>
        <w:jc w:val="center"/>
        <w:rPr>
          <w:rFonts w:hint="eastAsia" w:asciiTheme="minorEastAsia" w:hAnsiTheme="minorEastAsia" w:eastAsiaTheme="minorEastAsia" w:cstheme="minorEastAsia"/>
          <w:b/>
          <w:color w:val="auto"/>
          <w:sz w:val="36"/>
          <w:lang w:eastAsia="zh-CN"/>
        </w:rPr>
      </w:pPr>
      <w:r>
        <w:rPr>
          <w:rFonts w:hint="eastAsia" w:asciiTheme="minorEastAsia" w:hAnsiTheme="minorEastAsia" w:eastAsiaTheme="minorEastAsia" w:cstheme="minorEastAsia"/>
          <w:b/>
          <w:color w:val="auto"/>
          <w:sz w:val="36"/>
        </w:rPr>
        <w:t>采购人：</w:t>
      </w:r>
      <w:r>
        <w:rPr>
          <w:rFonts w:hint="eastAsia" w:asciiTheme="minorEastAsia" w:hAnsiTheme="minorEastAsia" w:eastAsiaTheme="minorEastAsia" w:cstheme="minorEastAsia"/>
          <w:b/>
          <w:color w:val="auto"/>
          <w:sz w:val="36"/>
          <w:lang w:eastAsia="zh-CN"/>
        </w:rPr>
        <w:t>福安市公共交通有限公司</w:t>
      </w:r>
    </w:p>
    <w:p w14:paraId="0592F8BB">
      <w:pPr>
        <w:spacing w:before="0" w:line="360" w:lineRule="auto"/>
        <w:ind w:right="150" w:rightChars="0"/>
        <w:jc w:val="center"/>
        <w:rPr>
          <w:rFonts w:hint="eastAsia" w:asciiTheme="minorEastAsia" w:hAnsiTheme="minorEastAsia" w:eastAsiaTheme="minorEastAsia" w:cstheme="minorEastAsia"/>
          <w:b/>
          <w:color w:val="auto"/>
          <w:spacing w:val="-1"/>
          <w:sz w:val="36"/>
          <w:lang w:eastAsia="zh-CN"/>
        </w:rPr>
      </w:pPr>
      <w:bookmarkStart w:id="4" w:name="代理机构：福建智卓咨询服务有限公司"/>
      <w:bookmarkEnd w:id="4"/>
      <w:r>
        <w:rPr>
          <w:rFonts w:hint="eastAsia" w:asciiTheme="minorEastAsia" w:hAnsiTheme="minorEastAsia" w:eastAsiaTheme="minorEastAsia" w:cstheme="minorEastAsia"/>
          <w:b/>
          <w:color w:val="auto"/>
          <w:spacing w:val="-1"/>
          <w:sz w:val="36"/>
        </w:rPr>
        <w:t>代理机构：</w:t>
      </w:r>
      <w:bookmarkStart w:id="5" w:name="日期：2024年4月"/>
      <w:bookmarkEnd w:id="5"/>
      <w:r>
        <w:rPr>
          <w:rFonts w:hint="eastAsia" w:asciiTheme="minorEastAsia" w:hAnsiTheme="minorEastAsia" w:eastAsiaTheme="minorEastAsia" w:cstheme="minorEastAsia"/>
          <w:b/>
          <w:color w:val="auto"/>
          <w:spacing w:val="-1"/>
          <w:sz w:val="36"/>
          <w:lang w:eastAsia="zh-CN"/>
        </w:rPr>
        <w:t>锐驰项目管理有限公司</w:t>
      </w:r>
    </w:p>
    <w:p w14:paraId="421795E5">
      <w:pPr>
        <w:spacing w:before="0" w:line="360" w:lineRule="auto"/>
        <w:ind w:right="2022"/>
        <w:jc w:val="center"/>
        <w:rPr>
          <w:rFonts w:hint="eastAsia" w:asciiTheme="minorEastAsia" w:hAnsiTheme="minorEastAsia" w:eastAsiaTheme="minorEastAsia" w:cstheme="minorEastAsia"/>
          <w:b/>
          <w:color w:val="auto"/>
          <w:sz w:val="36"/>
        </w:rPr>
      </w:pPr>
      <w:r>
        <w:rPr>
          <w:rFonts w:hint="eastAsia" w:asciiTheme="minorEastAsia" w:hAnsiTheme="minorEastAsia" w:eastAsiaTheme="minorEastAsia" w:cstheme="minorEastAsia"/>
          <w:b/>
          <w:color w:val="auto"/>
          <w:sz w:val="36"/>
        </w:rPr>
        <w:t xml:space="preserve">日期：2024 </w:t>
      </w:r>
      <w:r>
        <w:rPr>
          <w:rFonts w:hint="eastAsia" w:asciiTheme="minorEastAsia" w:hAnsiTheme="minorEastAsia" w:eastAsiaTheme="minorEastAsia" w:cstheme="minorEastAsia"/>
          <w:b/>
          <w:color w:val="auto"/>
          <w:spacing w:val="-46"/>
          <w:sz w:val="36"/>
        </w:rPr>
        <w:t xml:space="preserve">年 </w:t>
      </w:r>
      <w:r>
        <w:rPr>
          <w:rFonts w:hint="eastAsia" w:asciiTheme="minorEastAsia" w:hAnsiTheme="minorEastAsia" w:eastAsiaTheme="minorEastAsia" w:cstheme="minorEastAsia"/>
          <w:b/>
          <w:color w:val="auto"/>
          <w:sz w:val="36"/>
          <w:lang w:val="en-US" w:eastAsia="zh-CN"/>
        </w:rPr>
        <w:t>12</w:t>
      </w:r>
      <w:r>
        <w:rPr>
          <w:rFonts w:hint="eastAsia" w:asciiTheme="minorEastAsia" w:hAnsiTheme="minorEastAsia" w:eastAsiaTheme="minorEastAsia" w:cstheme="minorEastAsia"/>
          <w:b/>
          <w:color w:val="auto"/>
          <w:sz w:val="36"/>
        </w:rPr>
        <w:t>月</w:t>
      </w:r>
    </w:p>
    <w:p w14:paraId="62691FD9">
      <w:pPr>
        <w:spacing w:after="0" w:line="324" w:lineRule="auto"/>
        <w:jc w:val="left"/>
        <w:rPr>
          <w:rFonts w:hint="eastAsia" w:asciiTheme="minorEastAsia" w:hAnsiTheme="minorEastAsia" w:eastAsiaTheme="minorEastAsia" w:cstheme="minorEastAsia"/>
          <w:color w:val="auto"/>
          <w:sz w:val="36"/>
        </w:rPr>
        <w:sectPr>
          <w:footerReference r:id="rId5" w:type="default"/>
          <w:type w:val="continuous"/>
          <w:pgSz w:w="11910" w:h="16840"/>
          <w:pgMar w:top="1580" w:right="860" w:bottom="1080" w:left="1220" w:header="720" w:footer="890" w:gutter="0"/>
          <w:pgNumType w:start="1"/>
          <w:cols w:space="720" w:num="1"/>
        </w:sectPr>
      </w:pPr>
    </w:p>
    <w:p w14:paraId="53C23B69">
      <w:pPr>
        <w:pStyle w:val="3"/>
        <w:ind w:left="3527" w:right="0"/>
        <w:jc w:val="left"/>
        <w:rPr>
          <w:rFonts w:hint="eastAsia" w:asciiTheme="minorEastAsia" w:hAnsiTheme="minorEastAsia" w:eastAsiaTheme="minorEastAsia" w:cstheme="minorEastAsia"/>
          <w:color w:val="auto"/>
        </w:rPr>
      </w:pPr>
      <w:bookmarkStart w:id="6" w:name="第一章 投标邀请"/>
      <w:bookmarkEnd w:id="6"/>
      <w:r>
        <w:rPr>
          <w:rFonts w:hint="eastAsia" w:asciiTheme="minorEastAsia" w:hAnsiTheme="minorEastAsia" w:eastAsiaTheme="minorEastAsia" w:cstheme="minorEastAsia"/>
          <w:color w:val="auto"/>
        </w:rPr>
        <w:t>第一章 投标邀请</w:t>
      </w:r>
    </w:p>
    <w:p w14:paraId="3A48CEE0">
      <w:pPr>
        <w:pStyle w:val="6"/>
        <w:keepNext w:val="0"/>
        <w:keepLines w:val="0"/>
        <w:pageBreakBefore w:val="0"/>
        <w:widowControl w:val="0"/>
        <w:kinsoku/>
        <w:wordWrap/>
        <w:overflowPunct/>
        <w:topLinePunct w:val="0"/>
        <w:autoSpaceDE w:val="0"/>
        <w:autoSpaceDN w:val="0"/>
        <w:bidi w:val="0"/>
        <w:adjustRightInd/>
        <w:snapToGrid/>
        <w:spacing w:before="112" w:line="360" w:lineRule="auto"/>
        <w:ind w:left="221" w:right="578" w:firstLine="480"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lang w:eastAsia="zh-CN"/>
        </w:rPr>
        <w:t>锐驰项目管理有限公司</w:t>
      </w:r>
      <w:r>
        <w:rPr>
          <w:rFonts w:hint="eastAsia" w:asciiTheme="minorEastAsia" w:hAnsiTheme="minorEastAsia" w:eastAsiaTheme="minorEastAsia" w:cstheme="minorEastAsia"/>
          <w:color w:val="auto"/>
        </w:rPr>
        <w:t>采用公开招标方式组织</w:t>
      </w:r>
      <w:r>
        <w:rPr>
          <w:rFonts w:hint="eastAsia" w:asciiTheme="minorEastAsia" w:hAnsiTheme="minorEastAsia" w:eastAsiaTheme="minorEastAsia" w:cstheme="minorEastAsia"/>
          <w:color w:val="auto"/>
          <w:lang w:eastAsia="zh-CN"/>
        </w:rPr>
        <w:t>福安市市政及公共服务新型基础设施建设工程（公交车扩容工程）</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7"/>
        </w:rPr>
        <w:t>以下简称：“本项目”</w:t>
      </w:r>
      <w:r>
        <w:rPr>
          <w:rFonts w:hint="eastAsia" w:asciiTheme="minorEastAsia" w:hAnsiTheme="minorEastAsia" w:eastAsiaTheme="minorEastAsia" w:cstheme="minorEastAsia"/>
          <w:color w:val="auto"/>
          <w:spacing w:val="-16"/>
        </w:rPr>
        <w:t>）</w:t>
      </w:r>
      <w:r>
        <w:rPr>
          <w:rFonts w:hint="eastAsia" w:asciiTheme="minorEastAsia" w:hAnsiTheme="minorEastAsia" w:eastAsiaTheme="minorEastAsia" w:cstheme="minorEastAsia"/>
          <w:color w:val="auto"/>
          <w:spacing w:val="-3"/>
        </w:rPr>
        <w:t>的</w:t>
      </w:r>
      <w:r>
        <w:rPr>
          <w:rFonts w:hint="eastAsia" w:asciiTheme="minorEastAsia" w:hAnsiTheme="minorEastAsia" w:eastAsiaTheme="minorEastAsia" w:cstheme="minorEastAsia"/>
          <w:color w:val="auto"/>
          <w:spacing w:val="-3"/>
          <w:lang w:eastAsia="zh-CN"/>
        </w:rPr>
        <w:t>企业采购</w:t>
      </w:r>
      <w:r>
        <w:rPr>
          <w:rFonts w:hint="eastAsia" w:asciiTheme="minorEastAsia" w:hAnsiTheme="minorEastAsia" w:eastAsiaTheme="minorEastAsia" w:cstheme="minorEastAsia"/>
          <w:color w:val="auto"/>
        </w:rPr>
        <w:t>活动，现邀请</w:t>
      </w:r>
      <w:r>
        <w:rPr>
          <w:rFonts w:hint="eastAsia" w:asciiTheme="minorEastAsia" w:hAnsiTheme="minorEastAsia" w:eastAsiaTheme="minorEastAsia" w:cstheme="minorEastAsia"/>
          <w:color w:val="auto"/>
          <w:lang w:eastAsia="zh-CN"/>
        </w:rPr>
        <w:t>投标人</w:t>
      </w:r>
      <w:r>
        <w:rPr>
          <w:rFonts w:hint="eastAsia" w:asciiTheme="minorEastAsia" w:hAnsiTheme="minorEastAsia" w:eastAsiaTheme="minorEastAsia" w:cstheme="minorEastAsia"/>
          <w:color w:val="auto"/>
        </w:rPr>
        <w:t>参加投标。</w:t>
      </w:r>
    </w:p>
    <w:p w14:paraId="2C31558E">
      <w:pPr>
        <w:spacing w:before="113" w:line="360" w:lineRule="auto"/>
        <w:ind w:left="700" w:right="0" w:firstLine="0"/>
        <w:jc w:val="left"/>
        <w:rPr>
          <w:rFonts w:hint="eastAsia" w:asciiTheme="minorEastAsia" w:hAnsiTheme="minorEastAsia" w:eastAsiaTheme="minorEastAsia" w:cstheme="minorEastAsia"/>
          <w:b/>
          <w:color w:val="auto"/>
          <w:sz w:val="24"/>
          <w:lang w:eastAsia="zh-CN"/>
        </w:rPr>
      </w:pPr>
      <w:bookmarkStart w:id="7" w:name="1、备案编号：/"/>
      <w:bookmarkEnd w:id="7"/>
      <w:bookmarkStart w:id="8" w:name="2、项目编号：FJZZGK(2024)001"/>
      <w:bookmarkEnd w:id="8"/>
      <w:r>
        <w:rPr>
          <w:rFonts w:hint="eastAsia" w:asciiTheme="minorEastAsia" w:hAnsiTheme="minorEastAsia" w:eastAsiaTheme="minorEastAsia" w:cstheme="minorEastAsia"/>
          <w:b/>
          <w:color w:val="auto"/>
          <w:sz w:val="24"/>
          <w:lang w:val="en-US" w:eastAsia="zh-CN"/>
        </w:rPr>
        <w:t>1</w:t>
      </w:r>
      <w:r>
        <w:rPr>
          <w:rFonts w:hint="eastAsia" w:asciiTheme="minorEastAsia" w:hAnsiTheme="minorEastAsia" w:eastAsiaTheme="minorEastAsia" w:cstheme="minorEastAsia"/>
          <w:b/>
          <w:color w:val="auto"/>
          <w:sz w:val="24"/>
        </w:rPr>
        <w:t>、项目编号：</w:t>
      </w:r>
      <w:r>
        <w:rPr>
          <w:rFonts w:hint="eastAsia" w:asciiTheme="minorEastAsia" w:hAnsiTheme="minorEastAsia" w:eastAsiaTheme="minorEastAsia" w:cstheme="minorEastAsia"/>
          <w:b/>
          <w:color w:val="auto"/>
          <w:sz w:val="24"/>
          <w:lang w:eastAsia="zh-CN"/>
        </w:rPr>
        <w:t>NDRCCG2024035</w:t>
      </w:r>
    </w:p>
    <w:p w14:paraId="2C706DC9">
      <w:pPr>
        <w:spacing w:before="112" w:line="360" w:lineRule="auto"/>
        <w:ind w:left="700" w:right="0" w:firstLine="0"/>
        <w:jc w:val="left"/>
        <w:rPr>
          <w:rFonts w:hint="eastAsia" w:asciiTheme="minorEastAsia" w:hAnsiTheme="minorEastAsia" w:eastAsiaTheme="minorEastAsia" w:cstheme="minorEastAsia"/>
          <w:b/>
          <w:color w:val="auto"/>
          <w:sz w:val="24"/>
        </w:rPr>
      </w:pPr>
      <w:bookmarkStart w:id="9" w:name="3、预算金额、最高限价：详见《采购标的一览表》。"/>
      <w:bookmarkEnd w:id="9"/>
      <w:r>
        <w:rPr>
          <w:rFonts w:hint="eastAsia" w:asciiTheme="minorEastAsia" w:hAnsiTheme="minorEastAsia" w:eastAsiaTheme="minorEastAsia" w:cstheme="minorEastAsia"/>
          <w:b/>
          <w:color w:val="auto"/>
          <w:sz w:val="24"/>
          <w:lang w:val="en-US" w:eastAsia="zh-CN"/>
        </w:rPr>
        <w:t>2</w:t>
      </w:r>
      <w:r>
        <w:rPr>
          <w:rFonts w:hint="eastAsia" w:asciiTheme="minorEastAsia" w:hAnsiTheme="minorEastAsia" w:eastAsiaTheme="minorEastAsia" w:cstheme="minorEastAsia"/>
          <w:b/>
          <w:color w:val="auto"/>
          <w:sz w:val="24"/>
        </w:rPr>
        <w:t>、预算金额、最高限价：详见《采购标的一览表》。</w:t>
      </w:r>
    </w:p>
    <w:p w14:paraId="6950897B">
      <w:pPr>
        <w:spacing w:before="113" w:line="360" w:lineRule="auto"/>
        <w:ind w:left="700" w:right="0" w:firstLine="0"/>
        <w:jc w:val="left"/>
        <w:rPr>
          <w:rFonts w:hint="eastAsia" w:asciiTheme="minorEastAsia" w:hAnsiTheme="minorEastAsia" w:eastAsiaTheme="minorEastAsia" w:cstheme="minorEastAsia"/>
          <w:b/>
          <w:color w:val="auto"/>
          <w:sz w:val="24"/>
        </w:rPr>
      </w:pPr>
      <w:bookmarkStart w:id="10" w:name="4、招标内容及要求：详见《采购标的一览表》及招标文件第五章。"/>
      <w:bookmarkEnd w:id="10"/>
      <w:r>
        <w:rPr>
          <w:rFonts w:hint="eastAsia" w:asciiTheme="minorEastAsia" w:hAnsiTheme="minorEastAsia" w:eastAsiaTheme="minorEastAsia" w:cstheme="minorEastAsia"/>
          <w:b/>
          <w:color w:val="auto"/>
          <w:sz w:val="24"/>
          <w:lang w:val="en-US" w:eastAsia="zh-CN"/>
        </w:rPr>
        <w:t>3</w:t>
      </w:r>
      <w:r>
        <w:rPr>
          <w:rFonts w:hint="eastAsia" w:asciiTheme="minorEastAsia" w:hAnsiTheme="minorEastAsia" w:eastAsiaTheme="minorEastAsia" w:cstheme="minorEastAsia"/>
          <w:b/>
          <w:color w:val="auto"/>
          <w:sz w:val="24"/>
        </w:rPr>
        <w:t>、招标内容及要求：详见《采购标的一览表》及招标文件第五章。</w:t>
      </w:r>
    </w:p>
    <w:p w14:paraId="0E9BC99C">
      <w:pPr>
        <w:spacing w:before="112" w:line="360" w:lineRule="auto"/>
        <w:ind w:left="700" w:right="6114" w:firstLine="0"/>
        <w:jc w:val="left"/>
        <w:rPr>
          <w:rFonts w:hint="eastAsia" w:asciiTheme="minorEastAsia" w:hAnsiTheme="minorEastAsia" w:eastAsiaTheme="minorEastAsia" w:cstheme="minorEastAsia"/>
          <w:color w:val="auto"/>
          <w:sz w:val="24"/>
        </w:rPr>
      </w:pPr>
      <w:bookmarkStart w:id="11" w:name="5、需要落实的政府采购政策"/>
      <w:bookmarkEnd w:id="11"/>
      <w:r>
        <w:rPr>
          <w:rFonts w:hint="eastAsia" w:asciiTheme="minorEastAsia" w:hAnsiTheme="minorEastAsia" w:eastAsiaTheme="minorEastAsia" w:cstheme="minorEastAsia"/>
          <w:b/>
          <w:color w:val="auto"/>
          <w:sz w:val="24"/>
          <w:lang w:val="en-US" w:eastAsia="zh-CN"/>
        </w:rPr>
        <w:t>4</w:t>
      </w:r>
      <w:r>
        <w:rPr>
          <w:rFonts w:hint="eastAsia" w:asciiTheme="minorEastAsia" w:hAnsiTheme="minorEastAsia" w:eastAsiaTheme="minorEastAsia" w:cstheme="minorEastAsia"/>
          <w:b/>
          <w:color w:val="auto"/>
          <w:sz w:val="24"/>
        </w:rPr>
        <w:t>、需要落实的</w:t>
      </w:r>
      <w:r>
        <w:rPr>
          <w:rFonts w:hint="eastAsia" w:asciiTheme="minorEastAsia" w:hAnsiTheme="minorEastAsia" w:eastAsiaTheme="minorEastAsia" w:cstheme="minorEastAsia"/>
          <w:b/>
          <w:color w:val="auto"/>
          <w:sz w:val="24"/>
          <w:lang w:eastAsia="zh-CN"/>
        </w:rPr>
        <w:t>企业采购</w:t>
      </w:r>
      <w:r>
        <w:rPr>
          <w:rFonts w:hint="eastAsia" w:asciiTheme="minorEastAsia" w:hAnsiTheme="minorEastAsia" w:eastAsiaTheme="minorEastAsia" w:cstheme="minorEastAsia"/>
          <w:b/>
          <w:color w:val="auto"/>
          <w:sz w:val="24"/>
        </w:rPr>
        <w:t>政策</w:t>
      </w:r>
      <w:r>
        <w:rPr>
          <w:rFonts w:hint="eastAsia" w:asciiTheme="minorEastAsia" w:hAnsiTheme="minorEastAsia" w:eastAsiaTheme="minorEastAsia" w:cstheme="minorEastAsia"/>
          <w:color w:val="auto"/>
          <w:sz w:val="24"/>
        </w:rPr>
        <w:t>进口产品：否。</w:t>
      </w:r>
    </w:p>
    <w:p w14:paraId="4AC1E5C7">
      <w:pPr>
        <w:pStyle w:val="6"/>
        <w:spacing w:line="360" w:lineRule="auto"/>
        <w:ind w:right="457" w:firstLine="480"/>
        <w:rPr>
          <w:rFonts w:hint="eastAsia" w:eastAsia="宋体" w:asciiTheme="minorEastAsia" w:hAnsiTheme="minorEastAsia" w:cstheme="minorEastAsia"/>
          <w:color w:val="auto"/>
          <w:lang w:eastAsia="zh-CN"/>
        </w:rPr>
      </w:pPr>
      <w:r>
        <w:rPr>
          <w:rFonts w:hint="eastAsia" w:asciiTheme="minorEastAsia" w:hAnsiTheme="minorEastAsia" w:eastAsiaTheme="minorEastAsia" w:cstheme="minorEastAsia"/>
          <w:color w:val="auto"/>
          <w:spacing w:val="-17"/>
        </w:rPr>
        <w:t>节能产品：</w:t>
      </w:r>
      <w:r>
        <w:rPr>
          <w:rFonts w:ascii="宋体" w:hAnsi="宋体" w:eastAsia="宋体" w:cs="宋体"/>
          <w:color w:val="auto"/>
          <w:sz w:val="24"/>
          <w:szCs w:val="24"/>
        </w:rPr>
        <w:t>适用于本项目</w:t>
      </w:r>
      <w:r>
        <w:rPr>
          <w:rFonts w:hint="eastAsia" w:cs="宋体"/>
          <w:color w:val="auto"/>
          <w:sz w:val="24"/>
          <w:szCs w:val="24"/>
          <w:lang w:eastAsia="zh-CN"/>
        </w:rPr>
        <w:t>。</w:t>
      </w:r>
    </w:p>
    <w:p w14:paraId="1AD1C076">
      <w:pPr>
        <w:pStyle w:val="6"/>
        <w:spacing w:line="360"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0"/>
        </w:rPr>
        <w:t>环境标志产品：</w:t>
      </w:r>
      <w:r>
        <w:rPr>
          <w:rFonts w:ascii="宋体" w:hAnsi="宋体" w:eastAsia="宋体" w:cs="宋体"/>
          <w:color w:val="auto"/>
          <w:sz w:val="24"/>
          <w:szCs w:val="24"/>
        </w:rPr>
        <w:t>适用于本项目</w:t>
      </w:r>
    </w:p>
    <w:p w14:paraId="6A4EE1E6">
      <w:pPr>
        <w:pStyle w:val="6"/>
        <w:spacing w:line="360" w:lineRule="auto"/>
        <w:ind w:left="700" w:right="150" w:right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信息安全产品：</w:t>
      </w:r>
      <w:r>
        <w:rPr>
          <w:rFonts w:ascii="宋体" w:hAnsi="宋体" w:eastAsia="宋体" w:cs="宋体"/>
          <w:color w:val="auto"/>
          <w:sz w:val="24"/>
          <w:szCs w:val="24"/>
        </w:rPr>
        <w:t>适用于本项目</w:t>
      </w:r>
      <w:r>
        <w:rPr>
          <w:rFonts w:hint="eastAsia" w:asciiTheme="minorEastAsia" w:hAnsiTheme="minorEastAsia" w:eastAsiaTheme="minorEastAsia" w:cstheme="minorEastAsia"/>
          <w:color w:val="auto"/>
        </w:rPr>
        <w:t>。</w:t>
      </w:r>
    </w:p>
    <w:p w14:paraId="5C9F00D2">
      <w:pPr>
        <w:pStyle w:val="6"/>
        <w:spacing w:line="360" w:lineRule="auto"/>
        <w:ind w:left="700" w:right="150" w:right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促进中小企业发展的相关政策：</w:t>
      </w:r>
    </w:p>
    <w:p w14:paraId="06AE0B4E">
      <w:pPr>
        <w:pStyle w:val="26"/>
        <w:spacing w:line="360" w:lineRule="auto"/>
        <w:rPr>
          <w:color w:val="auto"/>
        </w:rPr>
      </w:pPr>
      <w:r>
        <w:rPr>
          <w:rFonts w:ascii="宋体" w:hAnsi="宋体" w:eastAsia="宋体" w:cs="宋体"/>
          <w:b/>
          <w:bCs/>
          <w:color w:val="auto"/>
          <w:sz w:val="24"/>
          <w:szCs w:val="24"/>
        </w:rPr>
        <w:t>采购包1：</w:t>
      </w:r>
      <w:r>
        <w:rPr>
          <w:rFonts w:hint="eastAsia" w:ascii="宋体" w:hAnsi="宋体" w:eastAsia="宋体" w:cs="宋体"/>
          <w:b/>
          <w:bCs/>
          <w:color w:val="auto"/>
          <w:sz w:val="24"/>
          <w:szCs w:val="24"/>
        </w:rPr>
        <w:t>不专门面向中小企业采购</w:t>
      </w:r>
    </w:p>
    <w:p w14:paraId="7A5BFA4E">
      <w:pPr>
        <w:pStyle w:val="26"/>
        <w:spacing w:line="360" w:lineRule="auto"/>
        <w:rPr>
          <w:rFonts w:hint="eastAsia"/>
          <w:color w:val="auto"/>
        </w:rPr>
      </w:pPr>
      <w:r>
        <w:rPr>
          <w:rFonts w:ascii="宋体" w:hAnsi="宋体" w:eastAsia="宋体" w:cs="宋体"/>
          <w:b/>
          <w:bCs/>
          <w:color w:val="auto"/>
          <w:sz w:val="24"/>
          <w:szCs w:val="24"/>
        </w:rPr>
        <w:t>采购包</w:t>
      </w:r>
      <w:r>
        <w:rPr>
          <w:rFonts w:hint="eastAsia" w:ascii="宋体" w:hAnsi="宋体" w:eastAsia="宋体" w:cs="宋体"/>
          <w:b/>
          <w:bCs/>
          <w:color w:val="auto"/>
          <w:sz w:val="24"/>
          <w:szCs w:val="24"/>
          <w:lang w:val="en-US" w:eastAsia="zh-CN"/>
        </w:rPr>
        <w:t>2</w:t>
      </w:r>
      <w:r>
        <w:rPr>
          <w:rFonts w:ascii="宋体" w:hAnsi="宋体" w:eastAsia="宋体" w:cs="宋体"/>
          <w:b/>
          <w:bCs/>
          <w:color w:val="auto"/>
          <w:sz w:val="24"/>
          <w:szCs w:val="24"/>
        </w:rPr>
        <w:t>：</w:t>
      </w:r>
      <w:r>
        <w:rPr>
          <w:rFonts w:hint="eastAsia" w:ascii="宋体" w:hAnsi="宋体" w:eastAsia="宋体" w:cs="宋体"/>
          <w:b/>
          <w:bCs/>
          <w:color w:val="auto"/>
          <w:sz w:val="24"/>
          <w:szCs w:val="24"/>
        </w:rPr>
        <w:t>不专门面向中小企业采购</w:t>
      </w:r>
    </w:p>
    <w:p w14:paraId="4043E4EB">
      <w:pPr>
        <w:pStyle w:val="4"/>
        <w:spacing w:line="360" w:lineRule="auto"/>
        <w:ind w:left="700"/>
        <w:rPr>
          <w:rFonts w:hint="eastAsia" w:asciiTheme="minorEastAsia" w:hAnsiTheme="minorEastAsia" w:eastAsiaTheme="minorEastAsia" w:cstheme="minorEastAsia"/>
          <w:color w:val="auto"/>
        </w:rPr>
      </w:pPr>
      <w:bookmarkStart w:id="12" w:name="6、投标人的资格要求"/>
      <w:bookmarkEnd w:id="12"/>
      <w:r>
        <w:rPr>
          <w:rFonts w:hint="eastAsia" w:asciiTheme="minorEastAsia" w:hAnsiTheme="minorEastAsia" w:eastAsiaTheme="minorEastAsia" w:cstheme="minorEastAsia"/>
          <w:color w:val="auto"/>
          <w:lang w:val="en-US" w:eastAsia="zh-CN"/>
        </w:rPr>
        <w:t>5</w:t>
      </w:r>
      <w:r>
        <w:rPr>
          <w:rFonts w:hint="eastAsia" w:asciiTheme="minorEastAsia" w:hAnsiTheme="minorEastAsia" w:eastAsiaTheme="minorEastAsia" w:cstheme="minorEastAsia"/>
          <w:color w:val="auto"/>
        </w:rPr>
        <w:t>、投标人的资格要求</w:t>
      </w:r>
    </w:p>
    <w:p w14:paraId="3526E130">
      <w:pPr>
        <w:pStyle w:val="24"/>
        <w:numPr>
          <w:ilvl w:val="0"/>
          <w:numId w:val="0"/>
        </w:numPr>
        <w:tabs>
          <w:tab w:val="left" w:pos="1063"/>
        </w:tabs>
        <w:spacing w:before="102" w:after="0" w:line="36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5.1</w:t>
      </w:r>
      <w:r>
        <w:rPr>
          <w:rFonts w:hint="eastAsia" w:asciiTheme="minorEastAsia" w:hAnsiTheme="minorEastAsia" w:eastAsiaTheme="minorEastAsia" w:cstheme="minorEastAsia"/>
          <w:color w:val="auto"/>
          <w:sz w:val="24"/>
        </w:rPr>
        <w:t>法定条件：符合政府采购法第二十二条第一款规定的条件。</w:t>
      </w:r>
    </w:p>
    <w:p w14:paraId="322956FC">
      <w:pPr>
        <w:pStyle w:val="24"/>
        <w:numPr>
          <w:ilvl w:val="0"/>
          <w:numId w:val="0"/>
        </w:numPr>
        <w:tabs>
          <w:tab w:val="left" w:pos="1063"/>
        </w:tabs>
        <w:spacing w:before="113" w:after="0" w:line="36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5.2</w:t>
      </w:r>
      <w:r>
        <w:rPr>
          <w:rFonts w:hint="eastAsia" w:asciiTheme="minorEastAsia" w:hAnsiTheme="minorEastAsia" w:eastAsiaTheme="minorEastAsia" w:cstheme="minorEastAsia"/>
          <w:color w:val="auto"/>
          <w:sz w:val="24"/>
        </w:rPr>
        <w:t>特定条件：</w:t>
      </w:r>
    </w:p>
    <w:p w14:paraId="6A37B652">
      <w:pPr>
        <w:pStyle w:val="4"/>
        <w:spacing w:before="112" w:after="16" w:line="360" w:lineRule="auto"/>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采购包1：</w:t>
      </w:r>
    </w:p>
    <w:tbl>
      <w:tblPr>
        <w:tblStyle w:val="18"/>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378"/>
        <w:gridCol w:w="6860"/>
      </w:tblGrid>
      <w:tr w14:paraId="320E35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2378" w:type="dxa"/>
          </w:tcPr>
          <w:p w14:paraId="1F7B9797">
            <w:pPr>
              <w:pStyle w:val="25"/>
              <w:spacing w:before="97" w:line="303" w:lineRule="exact"/>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资格审查要求概况</w:t>
            </w:r>
          </w:p>
        </w:tc>
        <w:tc>
          <w:tcPr>
            <w:tcW w:w="6860" w:type="dxa"/>
          </w:tcPr>
          <w:p w14:paraId="260F51DF">
            <w:pPr>
              <w:pStyle w:val="25"/>
              <w:spacing w:before="97" w:line="303" w:lineRule="exact"/>
              <w:ind w:left="1865" w:right="1859"/>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评审点具体描述</w:t>
            </w:r>
          </w:p>
        </w:tc>
      </w:tr>
      <w:tr w14:paraId="080306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0" w:hRule="atLeast"/>
        </w:trPr>
        <w:tc>
          <w:tcPr>
            <w:tcW w:w="2378" w:type="dxa"/>
          </w:tcPr>
          <w:p w14:paraId="0608539D">
            <w:pPr>
              <w:pStyle w:val="25"/>
              <w:spacing w:line="420" w:lineRule="exact"/>
              <w:ind w:left="107" w:right="101"/>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3"/>
                <w:sz w:val="24"/>
              </w:rPr>
              <w:t>财务状况报告</w:t>
            </w:r>
            <w:r>
              <w:rPr>
                <w:rFonts w:hint="eastAsia" w:asciiTheme="minorEastAsia" w:hAnsiTheme="minorEastAsia" w:eastAsiaTheme="minorEastAsia" w:cstheme="minorEastAsia"/>
                <w:color w:val="auto"/>
                <w:sz w:val="24"/>
              </w:rPr>
              <w:t>（</w:t>
            </w:r>
            <w:r>
              <w:rPr>
                <w:rFonts w:hint="eastAsia" w:asciiTheme="minorEastAsia" w:hAnsiTheme="minorEastAsia" w:eastAsiaTheme="minorEastAsia" w:cstheme="minorEastAsia"/>
                <w:color w:val="auto"/>
                <w:spacing w:val="-5"/>
                <w:sz w:val="24"/>
              </w:rPr>
              <w:t>财务报告、或资信</w:t>
            </w:r>
            <w:r>
              <w:rPr>
                <w:rFonts w:hint="eastAsia" w:asciiTheme="minorEastAsia" w:hAnsiTheme="minorEastAsia" w:eastAsiaTheme="minorEastAsia" w:cstheme="minorEastAsia"/>
                <w:color w:val="auto"/>
                <w:spacing w:val="-8"/>
                <w:sz w:val="24"/>
              </w:rPr>
              <w:t>证明、 或投标担保函</w:t>
            </w:r>
            <w:r>
              <w:rPr>
                <w:rFonts w:hint="eastAsia" w:asciiTheme="minorEastAsia" w:hAnsiTheme="minorEastAsia" w:eastAsiaTheme="minorEastAsia" w:cstheme="minorEastAsia"/>
                <w:color w:val="auto"/>
                <w:spacing w:val="-48"/>
                <w:sz w:val="24"/>
              </w:rPr>
              <w:t>）</w:t>
            </w:r>
            <w:r>
              <w:rPr>
                <w:rFonts w:hint="eastAsia" w:asciiTheme="minorEastAsia" w:hAnsiTheme="minorEastAsia" w:eastAsiaTheme="minorEastAsia" w:cstheme="minorEastAsia"/>
                <w:color w:val="auto"/>
                <w:spacing w:val="-17"/>
                <w:sz w:val="24"/>
              </w:rPr>
              <w:t>的补充</w:t>
            </w:r>
            <w:r>
              <w:rPr>
                <w:rFonts w:hint="eastAsia" w:asciiTheme="minorEastAsia" w:hAnsiTheme="minorEastAsia" w:eastAsiaTheme="minorEastAsia" w:cstheme="minorEastAsia"/>
                <w:color w:val="auto"/>
                <w:sz w:val="24"/>
              </w:rPr>
              <w:t>（</w:t>
            </w:r>
            <w:r>
              <w:rPr>
                <w:rFonts w:hint="eastAsia" w:asciiTheme="minorEastAsia" w:hAnsiTheme="minorEastAsia" w:eastAsiaTheme="minorEastAsia" w:cstheme="minorEastAsia"/>
                <w:color w:val="auto"/>
                <w:spacing w:val="-15"/>
                <w:sz w:val="24"/>
              </w:rPr>
              <w:t>更</w:t>
            </w:r>
            <w:r>
              <w:rPr>
                <w:rFonts w:hint="eastAsia" w:asciiTheme="minorEastAsia" w:hAnsiTheme="minorEastAsia" w:eastAsiaTheme="minorEastAsia" w:cstheme="minorEastAsia"/>
                <w:color w:val="auto"/>
                <w:sz w:val="24"/>
              </w:rPr>
              <w:t>正）说明</w:t>
            </w:r>
          </w:p>
        </w:tc>
        <w:tc>
          <w:tcPr>
            <w:tcW w:w="6860" w:type="dxa"/>
          </w:tcPr>
          <w:p w14:paraId="1A81FBEA">
            <w:pPr>
              <w:pStyle w:val="25"/>
              <w:spacing w:line="420" w:lineRule="exact"/>
              <w:ind w:left="107" w:right="101"/>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4"/>
                <w:sz w:val="24"/>
              </w:rPr>
              <w:t>投标人选择提供银行出具的资信证明的，若证明材</w:t>
            </w:r>
            <w:r>
              <w:rPr>
                <w:rFonts w:hint="eastAsia" w:asciiTheme="minorEastAsia" w:hAnsiTheme="minorEastAsia" w:eastAsiaTheme="minorEastAsia" w:cstheme="minorEastAsia"/>
                <w:color w:val="auto"/>
                <w:spacing w:val="-7"/>
                <w:sz w:val="24"/>
              </w:rPr>
              <w:t>料上体现“复印无效”，也视同有效。招标文件其</w:t>
            </w:r>
            <w:r>
              <w:rPr>
                <w:rFonts w:hint="eastAsia" w:asciiTheme="minorEastAsia" w:hAnsiTheme="minorEastAsia" w:eastAsiaTheme="minorEastAsia" w:cstheme="minorEastAsia"/>
                <w:color w:val="auto"/>
                <w:sz w:val="24"/>
              </w:rPr>
              <w:t>他内容与本项要求不一致的，与本项为准。</w:t>
            </w:r>
          </w:p>
        </w:tc>
      </w:tr>
      <w:tr w14:paraId="29B650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0" w:hRule="atLeast"/>
        </w:trPr>
        <w:tc>
          <w:tcPr>
            <w:tcW w:w="2378" w:type="dxa"/>
          </w:tcPr>
          <w:p w14:paraId="395B7505">
            <w:pPr>
              <w:pStyle w:val="25"/>
              <w:spacing w:line="420" w:lineRule="exact"/>
              <w:ind w:left="107" w:right="101"/>
              <w:jc w:val="both"/>
              <w:rPr>
                <w:rFonts w:hint="eastAsia" w:asciiTheme="minorEastAsia" w:hAnsiTheme="minorEastAsia" w:eastAsiaTheme="minorEastAsia" w:cstheme="minorEastAsia"/>
                <w:color w:val="auto"/>
                <w:spacing w:val="-3"/>
                <w:sz w:val="24"/>
              </w:rPr>
            </w:pPr>
            <w:r>
              <w:rPr>
                <w:rFonts w:hint="eastAsia" w:asciiTheme="minorEastAsia" w:hAnsiTheme="minorEastAsia" w:eastAsiaTheme="minorEastAsia" w:cstheme="minorEastAsia"/>
                <w:color w:val="auto"/>
                <w:spacing w:val="-3"/>
                <w:sz w:val="24"/>
              </w:rPr>
              <w:t>资格承诺函</w:t>
            </w:r>
          </w:p>
        </w:tc>
        <w:tc>
          <w:tcPr>
            <w:tcW w:w="6860" w:type="dxa"/>
          </w:tcPr>
          <w:p w14:paraId="71EA3B88">
            <w:pPr>
              <w:pStyle w:val="25"/>
              <w:spacing w:line="420" w:lineRule="exact"/>
              <w:ind w:left="107" w:right="101"/>
              <w:jc w:val="both"/>
              <w:rPr>
                <w:rFonts w:hint="eastAsia" w:asciiTheme="minorEastAsia" w:hAnsiTheme="minorEastAsia" w:eastAsiaTheme="minorEastAsia" w:cstheme="minorEastAsia"/>
                <w:color w:val="auto"/>
                <w:spacing w:val="-3"/>
                <w:sz w:val="24"/>
              </w:rPr>
            </w:pPr>
            <w:r>
              <w:rPr>
                <w:rFonts w:hint="eastAsia" w:asciiTheme="minorEastAsia" w:hAnsiTheme="minorEastAsia" w:eastAsiaTheme="minorEastAsia" w:cstheme="minorEastAsia"/>
                <w:color w:val="auto"/>
                <w:spacing w:val="-3"/>
                <w:sz w:val="24"/>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bl>
    <w:p w14:paraId="04B9DE8E">
      <w:pPr>
        <w:pStyle w:val="4"/>
        <w:spacing w:before="112" w:after="16" w:line="360" w:lineRule="auto"/>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采购包</w:t>
      </w:r>
      <w:r>
        <w:rPr>
          <w:rFonts w:hint="eastAsia" w:asciiTheme="minorEastAsia" w:hAnsiTheme="minorEastAsia" w:eastAsiaTheme="minorEastAsia" w:cstheme="minorEastAsia"/>
          <w:color w:val="auto"/>
          <w:lang w:val="en-US" w:eastAsia="zh-CN"/>
        </w:rPr>
        <w:t>2</w:t>
      </w:r>
      <w:r>
        <w:rPr>
          <w:rFonts w:hint="eastAsia" w:asciiTheme="minorEastAsia" w:hAnsiTheme="minorEastAsia" w:eastAsiaTheme="minorEastAsia" w:cstheme="minorEastAsia"/>
          <w:color w:val="auto"/>
        </w:rPr>
        <w:t>：</w:t>
      </w:r>
    </w:p>
    <w:tbl>
      <w:tblPr>
        <w:tblStyle w:val="18"/>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378"/>
        <w:gridCol w:w="6860"/>
      </w:tblGrid>
      <w:tr w14:paraId="09E6AA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2378" w:type="dxa"/>
          </w:tcPr>
          <w:p w14:paraId="78323A3D">
            <w:pPr>
              <w:pStyle w:val="25"/>
              <w:spacing w:before="97" w:line="303" w:lineRule="exact"/>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资格审查要求概况</w:t>
            </w:r>
          </w:p>
        </w:tc>
        <w:tc>
          <w:tcPr>
            <w:tcW w:w="6860" w:type="dxa"/>
          </w:tcPr>
          <w:p w14:paraId="3B124360">
            <w:pPr>
              <w:pStyle w:val="25"/>
              <w:spacing w:before="97" w:line="303" w:lineRule="exact"/>
              <w:ind w:left="1865" w:right="1859"/>
              <w:jc w:val="center"/>
              <w:rPr>
                <w:rFonts w:hint="eastAsia" w:asciiTheme="minorEastAsia" w:hAnsiTheme="minorEastAsia" w:eastAsiaTheme="minorEastAsia" w:cstheme="minorEastAsia"/>
                <w:b/>
                <w:bCs/>
                <w:color w:val="auto"/>
                <w:sz w:val="24"/>
              </w:rPr>
            </w:pPr>
            <w:r>
              <w:rPr>
                <w:rFonts w:hint="eastAsia" w:asciiTheme="minorEastAsia" w:hAnsiTheme="minorEastAsia" w:eastAsiaTheme="minorEastAsia" w:cstheme="minorEastAsia"/>
                <w:b/>
                <w:bCs/>
                <w:color w:val="auto"/>
                <w:sz w:val="24"/>
              </w:rPr>
              <w:t>评审点具体描述</w:t>
            </w:r>
          </w:p>
        </w:tc>
      </w:tr>
      <w:tr w14:paraId="47CC18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0" w:hRule="atLeast"/>
        </w:trPr>
        <w:tc>
          <w:tcPr>
            <w:tcW w:w="2378" w:type="dxa"/>
          </w:tcPr>
          <w:p w14:paraId="29C18A9D">
            <w:pPr>
              <w:pStyle w:val="25"/>
              <w:spacing w:line="420" w:lineRule="exact"/>
              <w:ind w:left="107" w:right="101"/>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3"/>
                <w:sz w:val="24"/>
              </w:rPr>
              <w:t>财务状况报告</w:t>
            </w:r>
            <w:r>
              <w:rPr>
                <w:rFonts w:hint="eastAsia" w:asciiTheme="minorEastAsia" w:hAnsiTheme="minorEastAsia" w:eastAsiaTheme="minorEastAsia" w:cstheme="minorEastAsia"/>
                <w:color w:val="auto"/>
                <w:sz w:val="24"/>
              </w:rPr>
              <w:t>（</w:t>
            </w:r>
            <w:r>
              <w:rPr>
                <w:rFonts w:hint="eastAsia" w:asciiTheme="minorEastAsia" w:hAnsiTheme="minorEastAsia" w:eastAsiaTheme="minorEastAsia" w:cstheme="minorEastAsia"/>
                <w:color w:val="auto"/>
                <w:spacing w:val="-5"/>
                <w:sz w:val="24"/>
              </w:rPr>
              <w:t>财务报告、或资信</w:t>
            </w:r>
            <w:r>
              <w:rPr>
                <w:rFonts w:hint="eastAsia" w:asciiTheme="minorEastAsia" w:hAnsiTheme="minorEastAsia" w:eastAsiaTheme="minorEastAsia" w:cstheme="minorEastAsia"/>
                <w:color w:val="auto"/>
                <w:spacing w:val="-8"/>
                <w:sz w:val="24"/>
              </w:rPr>
              <w:t>证明、 或投标担保函</w:t>
            </w:r>
            <w:r>
              <w:rPr>
                <w:rFonts w:hint="eastAsia" w:asciiTheme="minorEastAsia" w:hAnsiTheme="minorEastAsia" w:eastAsiaTheme="minorEastAsia" w:cstheme="minorEastAsia"/>
                <w:color w:val="auto"/>
                <w:spacing w:val="-48"/>
                <w:sz w:val="24"/>
              </w:rPr>
              <w:t>）</w:t>
            </w:r>
            <w:r>
              <w:rPr>
                <w:rFonts w:hint="eastAsia" w:asciiTheme="minorEastAsia" w:hAnsiTheme="minorEastAsia" w:eastAsiaTheme="minorEastAsia" w:cstheme="minorEastAsia"/>
                <w:color w:val="auto"/>
                <w:spacing w:val="-17"/>
                <w:sz w:val="24"/>
              </w:rPr>
              <w:t>的补充</w:t>
            </w:r>
            <w:r>
              <w:rPr>
                <w:rFonts w:hint="eastAsia" w:asciiTheme="minorEastAsia" w:hAnsiTheme="minorEastAsia" w:eastAsiaTheme="minorEastAsia" w:cstheme="minorEastAsia"/>
                <w:color w:val="auto"/>
                <w:sz w:val="24"/>
              </w:rPr>
              <w:t>（</w:t>
            </w:r>
            <w:r>
              <w:rPr>
                <w:rFonts w:hint="eastAsia" w:asciiTheme="minorEastAsia" w:hAnsiTheme="minorEastAsia" w:eastAsiaTheme="minorEastAsia" w:cstheme="minorEastAsia"/>
                <w:color w:val="auto"/>
                <w:spacing w:val="-15"/>
                <w:sz w:val="24"/>
              </w:rPr>
              <w:t>更</w:t>
            </w:r>
            <w:r>
              <w:rPr>
                <w:rFonts w:hint="eastAsia" w:asciiTheme="minorEastAsia" w:hAnsiTheme="minorEastAsia" w:eastAsiaTheme="minorEastAsia" w:cstheme="minorEastAsia"/>
                <w:color w:val="auto"/>
                <w:sz w:val="24"/>
              </w:rPr>
              <w:t>正）说明</w:t>
            </w:r>
          </w:p>
        </w:tc>
        <w:tc>
          <w:tcPr>
            <w:tcW w:w="6860" w:type="dxa"/>
          </w:tcPr>
          <w:p w14:paraId="382541AE">
            <w:pPr>
              <w:pStyle w:val="25"/>
              <w:spacing w:line="420" w:lineRule="exact"/>
              <w:ind w:left="107" w:right="101"/>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4"/>
                <w:sz w:val="24"/>
              </w:rPr>
              <w:t>投标人选择提供银行出具的资信证明的，若证明材</w:t>
            </w:r>
            <w:r>
              <w:rPr>
                <w:rFonts w:hint="eastAsia" w:asciiTheme="minorEastAsia" w:hAnsiTheme="minorEastAsia" w:eastAsiaTheme="minorEastAsia" w:cstheme="minorEastAsia"/>
                <w:color w:val="auto"/>
                <w:spacing w:val="-7"/>
                <w:sz w:val="24"/>
              </w:rPr>
              <w:t>料上体现“复印无效”，也视同有效。招标文件其</w:t>
            </w:r>
            <w:r>
              <w:rPr>
                <w:rFonts w:hint="eastAsia" w:asciiTheme="minorEastAsia" w:hAnsiTheme="minorEastAsia" w:eastAsiaTheme="minorEastAsia" w:cstheme="minorEastAsia"/>
                <w:color w:val="auto"/>
                <w:sz w:val="24"/>
              </w:rPr>
              <w:t>他内容与本项要求不一致的，与本项为准。</w:t>
            </w:r>
          </w:p>
        </w:tc>
      </w:tr>
      <w:tr w14:paraId="22AC06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0" w:hRule="atLeast"/>
        </w:trPr>
        <w:tc>
          <w:tcPr>
            <w:tcW w:w="2378" w:type="dxa"/>
            <w:shd w:val="clear" w:color="auto" w:fill="auto"/>
            <w:vAlign w:val="top"/>
          </w:tcPr>
          <w:p w14:paraId="61240A48">
            <w:pPr>
              <w:pStyle w:val="25"/>
              <w:spacing w:line="420" w:lineRule="exact"/>
              <w:ind w:left="107" w:leftChars="0" w:right="101" w:rightChars="0"/>
              <w:jc w:val="both"/>
              <w:rPr>
                <w:rFonts w:hint="eastAsia" w:asciiTheme="minorEastAsia" w:hAnsiTheme="minorEastAsia" w:eastAsiaTheme="minorEastAsia" w:cstheme="minorEastAsia"/>
                <w:color w:val="auto"/>
                <w:spacing w:val="-3"/>
                <w:sz w:val="24"/>
                <w:szCs w:val="22"/>
                <w:lang w:val="en-US" w:eastAsia="en-US" w:bidi="ar-SA"/>
              </w:rPr>
            </w:pPr>
            <w:r>
              <w:rPr>
                <w:rFonts w:hint="eastAsia" w:asciiTheme="minorEastAsia" w:hAnsiTheme="minorEastAsia" w:eastAsiaTheme="minorEastAsia" w:cstheme="minorEastAsia"/>
                <w:color w:val="auto"/>
                <w:spacing w:val="-3"/>
                <w:sz w:val="24"/>
              </w:rPr>
              <w:t>资格承诺函</w:t>
            </w:r>
          </w:p>
        </w:tc>
        <w:tc>
          <w:tcPr>
            <w:tcW w:w="6860" w:type="dxa"/>
            <w:shd w:val="clear" w:color="auto" w:fill="auto"/>
            <w:vAlign w:val="top"/>
          </w:tcPr>
          <w:p w14:paraId="7BA744A1">
            <w:pPr>
              <w:pStyle w:val="25"/>
              <w:spacing w:line="420" w:lineRule="exact"/>
              <w:ind w:left="107" w:leftChars="0" w:right="101" w:rightChars="0"/>
              <w:jc w:val="both"/>
              <w:rPr>
                <w:rFonts w:hint="eastAsia" w:asciiTheme="minorEastAsia" w:hAnsiTheme="minorEastAsia" w:eastAsiaTheme="minorEastAsia" w:cstheme="minorEastAsia"/>
                <w:color w:val="auto"/>
                <w:spacing w:val="-3"/>
                <w:sz w:val="24"/>
                <w:szCs w:val="22"/>
                <w:lang w:val="en-US" w:eastAsia="en-US" w:bidi="ar-SA"/>
              </w:rPr>
            </w:pPr>
            <w:r>
              <w:rPr>
                <w:rFonts w:hint="eastAsia" w:asciiTheme="minorEastAsia" w:hAnsiTheme="minorEastAsia" w:eastAsiaTheme="minorEastAsia" w:cstheme="minorEastAsia"/>
                <w:color w:val="auto"/>
                <w:spacing w:val="-3"/>
                <w:sz w:val="24"/>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bl>
    <w:p w14:paraId="69603C92">
      <w:pPr>
        <w:pStyle w:val="24"/>
        <w:numPr>
          <w:ilvl w:val="0"/>
          <w:numId w:val="0"/>
        </w:numPr>
        <w:tabs>
          <w:tab w:val="left" w:pos="1063"/>
        </w:tabs>
        <w:spacing w:before="96" w:after="0" w:line="240" w:lineRule="auto"/>
        <w:ind w:left="700" w:leftChars="0" w:right="0" w:rightChars="0"/>
        <w:jc w:val="left"/>
        <w:rPr>
          <w:rFonts w:hint="eastAsia" w:asciiTheme="minorEastAsia" w:hAnsiTheme="minorEastAsia" w:eastAsiaTheme="minorEastAsia" w:cstheme="minorEastAsia"/>
          <w:color w:val="auto"/>
          <w:sz w:val="24"/>
        </w:rPr>
      </w:pPr>
    </w:p>
    <w:p w14:paraId="14D4B164">
      <w:pPr>
        <w:pStyle w:val="24"/>
        <w:numPr>
          <w:ilvl w:val="1"/>
          <w:numId w:val="1"/>
        </w:numPr>
        <w:tabs>
          <w:tab w:val="left" w:pos="1063"/>
        </w:tabs>
        <w:spacing w:before="96"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是否接受联合体投标：</w:t>
      </w:r>
    </w:p>
    <w:p w14:paraId="5B9E1B7B">
      <w:pPr>
        <w:pStyle w:val="4"/>
        <w:spacing w:before="113"/>
        <w:ind w:left="700"/>
        <w:rPr>
          <w:rFonts w:hint="eastAsia" w:asciiTheme="minorEastAsia" w:hAnsiTheme="minorEastAsia" w:eastAsiaTheme="minorEastAsia" w:cstheme="minorEastAsia"/>
          <w:b w:val="0"/>
          <w:color w:val="auto"/>
        </w:rPr>
      </w:pPr>
      <w:r>
        <w:rPr>
          <w:rFonts w:hint="eastAsia" w:asciiTheme="minorEastAsia" w:hAnsiTheme="minorEastAsia" w:eastAsiaTheme="minorEastAsia" w:cstheme="minorEastAsia"/>
          <w:color w:val="auto"/>
        </w:rPr>
        <w:t>采购包1：</w:t>
      </w:r>
      <w:r>
        <w:rPr>
          <w:rFonts w:hint="eastAsia" w:asciiTheme="minorEastAsia" w:hAnsiTheme="minorEastAsia" w:eastAsiaTheme="minorEastAsia" w:cstheme="minorEastAsia"/>
          <w:b w:val="0"/>
          <w:color w:val="auto"/>
        </w:rPr>
        <w:t>不接受。</w:t>
      </w:r>
    </w:p>
    <w:p w14:paraId="1971989F">
      <w:pPr>
        <w:pStyle w:val="4"/>
        <w:spacing w:before="113"/>
        <w:ind w:left="700"/>
        <w:rPr>
          <w:rFonts w:hint="eastAsia" w:asciiTheme="minorEastAsia" w:hAnsiTheme="minorEastAsia" w:eastAsiaTheme="minorEastAsia" w:cstheme="minorEastAsia"/>
          <w:b w:val="0"/>
          <w:color w:val="auto"/>
        </w:rPr>
      </w:pPr>
      <w:r>
        <w:rPr>
          <w:rFonts w:hint="eastAsia" w:asciiTheme="minorEastAsia" w:hAnsiTheme="minorEastAsia" w:eastAsiaTheme="minorEastAsia" w:cstheme="minorEastAsia"/>
          <w:color w:val="auto"/>
        </w:rPr>
        <w:t>采购包</w:t>
      </w:r>
      <w:r>
        <w:rPr>
          <w:rFonts w:hint="eastAsia" w:asciiTheme="minorEastAsia" w:hAnsiTheme="minorEastAsia" w:eastAsiaTheme="minorEastAsia" w:cstheme="minorEastAsia"/>
          <w:color w:val="auto"/>
          <w:lang w:val="en-US" w:eastAsia="zh-CN"/>
        </w:rPr>
        <w:t>2</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b w:val="0"/>
          <w:color w:val="auto"/>
        </w:rPr>
        <w:t>不接受。</w:t>
      </w:r>
    </w:p>
    <w:p w14:paraId="26BBB25F">
      <w:pPr>
        <w:pStyle w:val="4"/>
        <w:spacing w:before="113"/>
        <w:ind w:left="0" w:leftChars="0" w:firstLine="0" w:firstLineChars="0"/>
        <w:rPr>
          <w:rFonts w:hint="eastAsia" w:asciiTheme="minorEastAsia" w:hAnsiTheme="minorEastAsia" w:eastAsiaTheme="minorEastAsia" w:cstheme="minorEastAsia"/>
          <w:b w:val="0"/>
          <w:color w:val="auto"/>
        </w:rPr>
      </w:pPr>
    </w:p>
    <w:p w14:paraId="03452885">
      <w:pPr>
        <w:spacing w:before="39" w:line="360" w:lineRule="auto"/>
        <w:ind w:left="220" w:right="581" w:firstLine="480"/>
        <w:jc w:val="left"/>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b/>
          <w:color w:val="auto"/>
          <w:sz w:val="24"/>
        </w:rPr>
        <w:t>※根据上述资格要求，投标文件中应提交的“投标人的资格及资信证明文件”详见招标文件第四章。</w:t>
      </w:r>
    </w:p>
    <w:p w14:paraId="58C73541">
      <w:pPr>
        <w:spacing w:before="0" w:line="360" w:lineRule="auto"/>
        <w:ind w:left="700" w:right="0" w:firstLine="0"/>
        <w:jc w:val="left"/>
        <w:rPr>
          <w:rFonts w:hint="eastAsia" w:asciiTheme="minorEastAsia" w:hAnsiTheme="minorEastAsia" w:eastAsiaTheme="minorEastAsia" w:cstheme="minorEastAsia"/>
          <w:b/>
          <w:color w:val="auto"/>
          <w:sz w:val="24"/>
        </w:rPr>
      </w:pPr>
      <w:bookmarkStart w:id="13" w:name="7、招标文件的获取"/>
      <w:bookmarkEnd w:id="13"/>
      <w:r>
        <w:rPr>
          <w:rFonts w:hint="eastAsia" w:asciiTheme="minorEastAsia" w:hAnsiTheme="minorEastAsia" w:eastAsiaTheme="minorEastAsia" w:cstheme="minorEastAsia"/>
          <w:b/>
          <w:color w:val="auto"/>
          <w:sz w:val="24"/>
        </w:rPr>
        <w:t>7、招标文件的获取</w:t>
      </w:r>
    </w:p>
    <w:p w14:paraId="7D3C1A00">
      <w:pPr>
        <w:pStyle w:val="24"/>
        <w:numPr>
          <w:ilvl w:val="1"/>
          <w:numId w:val="2"/>
        </w:numPr>
        <w:tabs>
          <w:tab w:val="left" w:pos="1120"/>
        </w:tabs>
        <w:spacing w:before="112" w:after="0" w:line="360" w:lineRule="auto"/>
        <w:ind w:left="1120" w:right="0" w:hanging="42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招标文件获取期限：详见招标公告或更正公告，若不一致，以更正公告为准。</w:t>
      </w:r>
    </w:p>
    <w:p w14:paraId="35E3254D">
      <w:pPr>
        <w:pStyle w:val="24"/>
        <w:numPr>
          <w:ilvl w:val="1"/>
          <w:numId w:val="2"/>
        </w:numPr>
        <w:tabs>
          <w:tab w:val="left" w:pos="1120"/>
        </w:tabs>
        <w:spacing w:before="113" w:after="0" w:line="360"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rPr>
        <w:t>在招标文件获取期限内，详见招标公告或更正公告，若不一致，以更正公告为</w:t>
      </w:r>
      <w:r>
        <w:rPr>
          <w:rFonts w:hint="eastAsia" w:asciiTheme="minorEastAsia" w:hAnsiTheme="minorEastAsia" w:eastAsiaTheme="minorEastAsia" w:cstheme="minorEastAsia"/>
          <w:color w:val="auto"/>
          <w:sz w:val="24"/>
        </w:rPr>
        <w:t>准。</w:t>
      </w:r>
    </w:p>
    <w:p w14:paraId="55302FAE">
      <w:pPr>
        <w:pStyle w:val="24"/>
        <w:numPr>
          <w:ilvl w:val="1"/>
          <w:numId w:val="2"/>
        </w:numPr>
        <w:tabs>
          <w:tab w:val="left" w:pos="1120"/>
        </w:tabs>
        <w:spacing w:before="0" w:after="0" w:line="360" w:lineRule="auto"/>
        <w:ind w:left="1120" w:right="0" w:hanging="42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获取地点及方式：详见招标公告或更正公告，若不一致，以更正公告为准。</w:t>
      </w:r>
    </w:p>
    <w:p w14:paraId="7EBEA247">
      <w:pPr>
        <w:pStyle w:val="24"/>
        <w:numPr>
          <w:ilvl w:val="1"/>
          <w:numId w:val="2"/>
        </w:numPr>
        <w:tabs>
          <w:tab w:val="left" w:pos="1120"/>
        </w:tabs>
        <w:spacing w:before="112" w:after="0" w:line="360" w:lineRule="auto"/>
        <w:ind w:left="1120" w:right="0" w:hanging="42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招标文件售价：</w:t>
      </w:r>
      <w:r>
        <w:rPr>
          <w:rFonts w:hint="eastAsia" w:asciiTheme="minorEastAsia" w:hAnsiTheme="minorEastAsia" w:eastAsiaTheme="minorEastAsia" w:cstheme="minorEastAsia"/>
          <w:color w:val="auto"/>
          <w:sz w:val="24"/>
          <w:lang w:val="en-US" w:eastAsia="zh-CN"/>
        </w:rPr>
        <w:t>20</w:t>
      </w:r>
      <w:r>
        <w:rPr>
          <w:rFonts w:hint="eastAsia" w:asciiTheme="minorEastAsia" w:hAnsiTheme="minorEastAsia" w:eastAsiaTheme="minorEastAsia" w:cstheme="minorEastAsia"/>
          <w:color w:val="auto"/>
          <w:sz w:val="24"/>
        </w:rPr>
        <w:t>0</w:t>
      </w:r>
      <w:r>
        <w:rPr>
          <w:rFonts w:hint="eastAsia" w:asciiTheme="minorEastAsia" w:hAnsiTheme="minorEastAsia" w:eastAsiaTheme="minorEastAsia" w:cstheme="minorEastAsia"/>
          <w:color w:val="auto"/>
          <w:spacing w:val="-20"/>
          <w:sz w:val="24"/>
        </w:rPr>
        <w:t xml:space="preserve"> 元。</w:t>
      </w:r>
    </w:p>
    <w:p w14:paraId="01FFA18D">
      <w:pPr>
        <w:pStyle w:val="4"/>
        <w:spacing w:before="113" w:line="360" w:lineRule="auto"/>
        <w:ind w:left="700"/>
        <w:rPr>
          <w:rFonts w:hint="eastAsia" w:asciiTheme="minorEastAsia" w:hAnsiTheme="minorEastAsia" w:eastAsiaTheme="minorEastAsia" w:cstheme="minorEastAsia"/>
          <w:color w:val="auto"/>
        </w:rPr>
      </w:pPr>
      <w:bookmarkStart w:id="14" w:name="8、投标截止"/>
      <w:bookmarkEnd w:id="14"/>
      <w:r>
        <w:rPr>
          <w:rFonts w:hint="eastAsia" w:asciiTheme="minorEastAsia" w:hAnsiTheme="minorEastAsia" w:eastAsiaTheme="minorEastAsia" w:cstheme="minorEastAsia"/>
          <w:color w:val="auto"/>
        </w:rPr>
        <w:t>8、投标截止</w:t>
      </w:r>
    </w:p>
    <w:p w14:paraId="499B61A3">
      <w:pPr>
        <w:pStyle w:val="24"/>
        <w:numPr>
          <w:ilvl w:val="1"/>
          <w:numId w:val="3"/>
        </w:numPr>
        <w:tabs>
          <w:tab w:val="left" w:pos="1120"/>
        </w:tabs>
        <w:spacing w:before="112" w:after="0" w:line="360" w:lineRule="auto"/>
        <w:ind w:left="1120" w:right="0" w:hanging="42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投标截止时间：详见招标公告或更正公告，若不一致，以更正公告为准。</w:t>
      </w:r>
    </w:p>
    <w:p w14:paraId="0F9A9BB5">
      <w:pPr>
        <w:pStyle w:val="24"/>
        <w:numPr>
          <w:ilvl w:val="1"/>
          <w:numId w:val="3"/>
        </w:numPr>
        <w:tabs>
          <w:tab w:val="left" w:pos="1120"/>
        </w:tabs>
        <w:spacing w:before="113" w:after="0" w:line="360" w:lineRule="auto"/>
        <w:ind w:left="1120" w:right="0" w:hanging="42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开标时间及地点：详见招标公告或更正公告，若不一致，以更正公告为准。</w:t>
      </w:r>
    </w:p>
    <w:p w14:paraId="602D3B47">
      <w:pPr>
        <w:pStyle w:val="4"/>
        <w:spacing w:before="112" w:line="360" w:lineRule="auto"/>
        <w:ind w:left="700"/>
        <w:rPr>
          <w:rFonts w:hint="eastAsia" w:asciiTheme="minorEastAsia" w:hAnsiTheme="minorEastAsia" w:eastAsiaTheme="minorEastAsia" w:cstheme="minorEastAsia"/>
          <w:color w:val="auto"/>
        </w:rPr>
      </w:pPr>
      <w:bookmarkStart w:id="15" w:name="9、开标时间及地点"/>
      <w:bookmarkEnd w:id="15"/>
      <w:r>
        <w:rPr>
          <w:rFonts w:hint="eastAsia" w:asciiTheme="minorEastAsia" w:hAnsiTheme="minorEastAsia" w:eastAsiaTheme="minorEastAsia" w:cstheme="minorEastAsia"/>
          <w:color w:val="auto"/>
        </w:rPr>
        <w:t>9、开标时间及地点</w:t>
      </w:r>
    </w:p>
    <w:p w14:paraId="1EAB2676">
      <w:pPr>
        <w:pStyle w:val="6"/>
        <w:spacing w:before="113" w:line="360" w:lineRule="auto"/>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详见招标公告或更正公告，若不一致，以更正公告为准。</w:t>
      </w:r>
    </w:p>
    <w:p w14:paraId="65CD5988">
      <w:pPr>
        <w:pStyle w:val="4"/>
        <w:spacing w:before="112" w:line="360" w:lineRule="auto"/>
        <w:ind w:left="700"/>
        <w:rPr>
          <w:rFonts w:hint="eastAsia" w:asciiTheme="minorEastAsia" w:hAnsiTheme="minorEastAsia" w:eastAsiaTheme="minorEastAsia" w:cstheme="minorEastAsia"/>
          <w:color w:val="auto"/>
        </w:rPr>
      </w:pPr>
      <w:bookmarkStart w:id="16" w:name="10、公告期限"/>
      <w:bookmarkEnd w:id="16"/>
      <w:r>
        <w:rPr>
          <w:rFonts w:hint="eastAsia" w:asciiTheme="minorEastAsia" w:hAnsiTheme="minorEastAsia" w:eastAsiaTheme="minorEastAsia" w:cstheme="minorEastAsia"/>
          <w:color w:val="auto"/>
        </w:rPr>
        <w:t>10、公告期限</w:t>
      </w:r>
    </w:p>
    <w:p w14:paraId="21E56566">
      <w:pPr>
        <w:pStyle w:val="24"/>
        <w:numPr>
          <w:ilvl w:val="1"/>
          <w:numId w:val="4"/>
        </w:numPr>
        <w:tabs>
          <w:tab w:val="left" w:pos="1240"/>
        </w:tabs>
        <w:spacing w:before="113" w:after="0" w:line="360" w:lineRule="auto"/>
        <w:ind w:left="1240" w:right="0" w:hanging="54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4"/>
          <w:sz w:val="24"/>
        </w:rPr>
        <w:t xml:space="preserve">招标公告的公告期限：发布公告之日起 </w:t>
      </w:r>
      <w:r>
        <w:rPr>
          <w:rFonts w:hint="eastAsia" w:asciiTheme="minorEastAsia" w:hAnsiTheme="minorEastAsia" w:eastAsiaTheme="minorEastAsia" w:cstheme="minorEastAsia"/>
          <w:color w:val="auto"/>
          <w:sz w:val="24"/>
        </w:rPr>
        <w:t>5</w:t>
      </w:r>
      <w:r>
        <w:rPr>
          <w:rFonts w:hint="eastAsia" w:asciiTheme="minorEastAsia" w:hAnsiTheme="minorEastAsia" w:eastAsiaTheme="minorEastAsia" w:cstheme="minorEastAsia"/>
          <w:color w:val="auto"/>
          <w:spacing w:val="-10"/>
          <w:sz w:val="24"/>
        </w:rPr>
        <w:t xml:space="preserve"> 个工作日。</w:t>
      </w:r>
    </w:p>
    <w:p w14:paraId="2DCD74A8">
      <w:pPr>
        <w:pStyle w:val="24"/>
        <w:numPr>
          <w:ilvl w:val="1"/>
          <w:numId w:val="4"/>
        </w:numPr>
        <w:tabs>
          <w:tab w:val="left" w:pos="1240"/>
        </w:tabs>
        <w:spacing w:before="112" w:after="0" w:line="360" w:lineRule="auto"/>
        <w:ind w:left="1240" w:right="0" w:hanging="54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招标文件公告期限：其公告期限与招标公告的公告期限保持一致。</w:t>
      </w:r>
    </w:p>
    <w:p w14:paraId="529C20A1">
      <w:pPr>
        <w:numPr>
          <w:ilvl w:val="0"/>
          <w:numId w:val="5"/>
        </w:numPr>
        <w:spacing w:before="113" w:line="360" w:lineRule="auto"/>
        <w:ind w:left="700" w:right="0" w:firstLine="0"/>
        <w:jc w:val="left"/>
        <w:rPr>
          <w:rFonts w:hint="eastAsia" w:asciiTheme="minorEastAsia" w:hAnsiTheme="minorEastAsia" w:eastAsiaTheme="minorEastAsia" w:cstheme="minorEastAsia"/>
          <w:color w:val="auto"/>
          <w:sz w:val="24"/>
          <w:lang w:eastAsia="zh-CN"/>
        </w:rPr>
      </w:pPr>
      <w:bookmarkStart w:id="17" w:name="11、采购人：龙岩市消防救援支队"/>
      <w:bookmarkEnd w:id="17"/>
      <w:r>
        <w:rPr>
          <w:rFonts w:hint="eastAsia" w:asciiTheme="minorEastAsia" w:hAnsiTheme="minorEastAsia" w:eastAsiaTheme="minorEastAsia" w:cstheme="minorEastAsia"/>
          <w:b/>
          <w:color w:val="auto"/>
          <w:sz w:val="24"/>
        </w:rPr>
        <w:t>采购人：</w:t>
      </w:r>
      <w:r>
        <w:rPr>
          <w:rFonts w:hint="eastAsia" w:asciiTheme="minorEastAsia" w:hAnsiTheme="minorEastAsia" w:eastAsiaTheme="minorEastAsia" w:cstheme="minorEastAsia"/>
          <w:b/>
          <w:color w:val="auto"/>
          <w:sz w:val="24"/>
          <w:lang w:eastAsia="zh-CN"/>
        </w:rPr>
        <w:t>福安市公共交通有限公司</w:t>
      </w:r>
    </w:p>
    <w:p w14:paraId="304386BA">
      <w:pPr>
        <w:pStyle w:val="4"/>
        <w:spacing w:before="112" w:line="360" w:lineRule="auto"/>
        <w:ind w:left="700" w:firstLine="468" w:firstLineChars="200"/>
        <w:rPr>
          <w:rFonts w:hint="eastAsia" w:asciiTheme="minorEastAsia" w:hAnsiTheme="minorEastAsia" w:eastAsiaTheme="minorEastAsia" w:cstheme="minorEastAsia"/>
          <w:b w:val="0"/>
          <w:bCs w:val="0"/>
          <w:color w:val="auto"/>
          <w:spacing w:val="-3"/>
        </w:rPr>
      </w:pPr>
      <w:bookmarkStart w:id="18" w:name="12、代理机构：福建智卓咨询服务有限公司"/>
      <w:bookmarkEnd w:id="18"/>
      <w:r>
        <w:rPr>
          <w:rFonts w:hint="eastAsia" w:asciiTheme="minorEastAsia" w:hAnsiTheme="minorEastAsia" w:eastAsiaTheme="minorEastAsia" w:cstheme="minorEastAsia"/>
          <w:b w:val="0"/>
          <w:bCs w:val="0"/>
          <w:color w:val="auto"/>
          <w:spacing w:val="-3"/>
        </w:rPr>
        <w:t>地址：福建省宁德市福安市城南街道新华南路96号</w:t>
      </w:r>
    </w:p>
    <w:p w14:paraId="7BD26D36">
      <w:pPr>
        <w:pStyle w:val="4"/>
        <w:spacing w:before="112" w:line="360" w:lineRule="auto"/>
        <w:ind w:left="700" w:firstLine="468" w:firstLineChars="200"/>
        <w:rPr>
          <w:rFonts w:hint="eastAsia" w:asciiTheme="minorEastAsia" w:hAnsiTheme="minorEastAsia" w:eastAsiaTheme="minorEastAsia" w:cstheme="minorEastAsia"/>
          <w:b w:val="0"/>
          <w:bCs w:val="0"/>
          <w:color w:val="auto"/>
          <w:spacing w:val="-3"/>
        </w:rPr>
      </w:pPr>
      <w:r>
        <w:rPr>
          <w:rFonts w:hint="eastAsia" w:asciiTheme="minorEastAsia" w:hAnsiTheme="minorEastAsia" w:eastAsiaTheme="minorEastAsia" w:cstheme="minorEastAsia"/>
          <w:b w:val="0"/>
          <w:bCs w:val="0"/>
          <w:color w:val="auto"/>
          <w:spacing w:val="-3"/>
        </w:rPr>
        <w:t xml:space="preserve">邮编：355000  </w:t>
      </w:r>
    </w:p>
    <w:p w14:paraId="5F25E0B5">
      <w:pPr>
        <w:pStyle w:val="4"/>
        <w:spacing w:before="112" w:line="360" w:lineRule="auto"/>
        <w:ind w:left="700" w:firstLine="468" w:firstLineChars="200"/>
        <w:rPr>
          <w:rFonts w:hint="eastAsia" w:asciiTheme="minorEastAsia" w:hAnsiTheme="minorEastAsia" w:eastAsiaTheme="minorEastAsia" w:cstheme="minorEastAsia"/>
          <w:b w:val="0"/>
          <w:bCs w:val="0"/>
          <w:color w:val="auto"/>
          <w:spacing w:val="-3"/>
        </w:rPr>
      </w:pPr>
      <w:r>
        <w:rPr>
          <w:rFonts w:hint="eastAsia" w:asciiTheme="minorEastAsia" w:hAnsiTheme="minorEastAsia" w:eastAsiaTheme="minorEastAsia" w:cstheme="minorEastAsia"/>
          <w:b w:val="0"/>
          <w:bCs w:val="0"/>
          <w:color w:val="auto"/>
          <w:spacing w:val="-3"/>
        </w:rPr>
        <w:t>联系人：</w:t>
      </w:r>
      <w:r>
        <w:rPr>
          <w:rFonts w:hint="eastAsia" w:asciiTheme="minorEastAsia" w:hAnsiTheme="minorEastAsia" w:eastAsiaTheme="minorEastAsia" w:cstheme="minorEastAsia"/>
          <w:b w:val="0"/>
          <w:bCs w:val="0"/>
          <w:color w:val="auto"/>
          <w:spacing w:val="-3"/>
          <w:lang w:eastAsia="zh-CN"/>
        </w:rPr>
        <w:t>郑先生</w:t>
      </w:r>
      <w:r>
        <w:rPr>
          <w:rFonts w:hint="eastAsia" w:asciiTheme="minorEastAsia" w:hAnsiTheme="minorEastAsia" w:eastAsiaTheme="minorEastAsia" w:cstheme="minorEastAsia"/>
          <w:b w:val="0"/>
          <w:bCs w:val="0"/>
          <w:color w:val="auto"/>
          <w:spacing w:val="-3"/>
        </w:rPr>
        <w:t xml:space="preserve">  </w:t>
      </w:r>
    </w:p>
    <w:p w14:paraId="1B673EAB">
      <w:pPr>
        <w:pStyle w:val="4"/>
        <w:spacing w:before="112" w:line="360" w:lineRule="auto"/>
        <w:ind w:left="700" w:firstLine="468" w:firstLineChars="200"/>
        <w:rPr>
          <w:rFonts w:hint="default" w:eastAsia="宋体" w:asciiTheme="minorEastAsia" w:hAnsiTheme="minorEastAsia" w:cstheme="minorEastAsia"/>
          <w:b w:val="0"/>
          <w:bCs w:val="0"/>
          <w:color w:val="auto"/>
          <w:spacing w:val="-3"/>
          <w:lang w:val="en-US" w:eastAsia="zh-CN"/>
        </w:rPr>
      </w:pPr>
      <w:r>
        <w:rPr>
          <w:rFonts w:hint="eastAsia" w:asciiTheme="minorEastAsia" w:hAnsiTheme="minorEastAsia" w:eastAsiaTheme="minorEastAsia" w:cstheme="minorEastAsia"/>
          <w:b w:val="0"/>
          <w:bCs w:val="0"/>
          <w:color w:val="auto"/>
          <w:spacing w:val="-3"/>
        </w:rPr>
        <w:t>联系电话：0593-</w:t>
      </w:r>
      <w:r>
        <w:rPr>
          <w:rFonts w:hint="eastAsia"/>
          <w:b w:val="0"/>
          <w:bCs w:val="0"/>
          <w:color w:val="auto"/>
          <w:lang w:val="en-US" w:eastAsia="zh-CN"/>
        </w:rPr>
        <w:t>6383811</w:t>
      </w:r>
    </w:p>
    <w:p w14:paraId="25A79848">
      <w:pPr>
        <w:pStyle w:val="4"/>
        <w:spacing w:before="112" w:line="360" w:lineRule="auto"/>
        <w:ind w:left="700"/>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t>12、代理机构：</w:t>
      </w:r>
      <w:r>
        <w:rPr>
          <w:rFonts w:hint="eastAsia" w:asciiTheme="minorEastAsia" w:hAnsiTheme="minorEastAsia" w:eastAsiaTheme="minorEastAsia" w:cstheme="minorEastAsia"/>
          <w:color w:val="auto"/>
          <w:lang w:eastAsia="zh-CN"/>
        </w:rPr>
        <w:t>锐驰项目管理有限公司</w:t>
      </w:r>
    </w:p>
    <w:p w14:paraId="02D4A22E">
      <w:pPr>
        <w:pStyle w:val="4"/>
        <w:spacing w:before="112" w:line="360" w:lineRule="auto"/>
        <w:ind w:left="700" w:firstLine="468" w:firstLineChars="2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val="0"/>
          <w:bCs w:val="0"/>
          <w:color w:val="auto"/>
          <w:spacing w:val="-3"/>
        </w:rPr>
        <w:t>地址： 福建省宁德市蕉城区闽东中路8号金玉良城2-C</w:t>
      </w:r>
    </w:p>
    <w:p w14:paraId="55889840">
      <w:pPr>
        <w:numPr>
          <w:ilvl w:val="0"/>
          <w:numId w:val="0"/>
        </w:numPr>
        <w:spacing w:before="113" w:line="360" w:lineRule="auto"/>
        <w:ind w:left="700" w:leftChars="0" w:right="0" w:rightChars="0" w:firstLine="480" w:firstLineChars="200"/>
        <w:jc w:val="left"/>
        <w:rPr>
          <w:rFonts w:hint="default" w:asciiTheme="minorEastAsia" w:hAnsiTheme="minorEastAsia" w:eastAsiaTheme="minorEastAsia" w:cstheme="minorEastAsia"/>
          <w:b w:val="0"/>
          <w:bCs/>
          <w:color w:val="auto"/>
          <w:sz w:val="24"/>
          <w:lang w:val="en-US" w:eastAsia="zh-CN"/>
        </w:rPr>
      </w:pPr>
      <w:r>
        <w:rPr>
          <w:rFonts w:hint="eastAsia" w:asciiTheme="minorEastAsia" w:hAnsiTheme="minorEastAsia" w:eastAsiaTheme="minorEastAsia" w:cstheme="minorEastAsia"/>
          <w:b w:val="0"/>
          <w:bCs/>
          <w:color w:val="auto"/>
          <w:sz w:val="24"/>
        </w:rPr>
        <w:t>邮编：</w:t>
      </w:r>
      <w:r>
        <w:rPr>
          <w:rFonts w:hint="eastAsia" w:asciiTheme="minorEastAsia" w:hAnsiTheme="minorEastAsia" w:eastAsiaTheme="minorEastAsia" w:cstheme="minorEastAsia"/>
          <w:b w:val="0"/>
          <w:bCs/>
          <w:color w:val="auto"/>
          <w:sz w:val="24"/>
          <w:lang w:val="en-US" w:eastAsia="zh-CN"/>
        </w:rPr>
        <w:t>352100</w:t>
      </w:r>
    </w:p>
    <w:p w14:paraId="0E885B8B">
      <w:pPr>
        <w:numPr>
          <w:ilvl w:val="0"/>
          <w:numId w:val="0"/>
        </w:numPr>
        <w:spacing w:before="113" w:line="360" w:lineRule="auto"/>
        <w:ind w:left="700" w:leftChars="0" w:right="0" w:rightChars="0" w:firstLine="480" w:firstLineChars="200"/>
        <w:jc w:val="left"/>
        <w:rPr>
          <w:rFonts w:hint="default" w:asciiTheme="minorEastAsia" w:hAnsiTheme="minorEastAsia" w:eastAsiaTheme="minorEastAsia" w:cstheme="minorEastAsia"/>
          <w:b w:val="0"/>
          <w:bCs/>
          <w:color w:val="auto"/>
          <w:sz w:val="24"/>
          <w:lang w:val="en-US" w:eastAsia="zh-CN"/>
        </w:rPr>
      </w:pPr>
      <w:r>
        <w:rPr>
          <w:rFonts w:hint="eastAsia" w:asciiTheme="minorEastAsia" w:hAnsiTheme="minorEastAsia" w:eastAsiaTheme="minorEastAsia" w:cstheme="minorEastAsia"/>
          <w:b w:val="0"/>
          <w:bCs/>
          <w:color w:val="auto"/>
          <w:sz w:val="24"/>
        </w:rPr>
        <w:t>联系人：小范、小黄</w:t>
      </w:r>
    </w:p>
    <w:p w14:paraId="1332C593">
      <w:pPr>
        <w:numPr>
          <w:ilvl w:val="0"/>
          <w:numId w:val="0"/>
        </w:numPr>
        <w:spacing w:before="113" w:line="360" w:lineRule="auto"/>
        <w:ind w:left="700" w:leftChars="0" w:right="0" w:rightChars="0" w:firstLine="480" w:firstLineChars="200"/>
        <w:jc w:val="left"/>
        <w:rPr>
          <w:rFonts w:hint="eastAsia" w:asciiTheme="minorEastAsia" w:hAnsiTheme="minorEastAsia" w:eastAsiaTheme="minorEastAsia" w:cstheme="minorEastAsia"/>
          <w:b w:val="0"/>
          <w:bCs/>
          <w:color w:val="auto"/>
          <w:sz w:val="24"/>
        </w:rPr>
      </w:pPr>
      <w:r>
        <w:rPr>
          <w:rFonts w:hint="eastAsia" w:asciiTheme="minorEastAsia" w:hAnsiTheme="minorEastAsia" w:eastAsiaTheme="minorEastAsia" w:cstheme="minorEastAsia"/>
          <w:b w:val="0"/>
          <w:bCs/>
          <w:color w:val="auto"/>
          <w:sz w:val="24"/>
        </w:rPr>
        <w:t xml:space="preserve">联系电话： </w:t>
      </w:r>
      <w:r>
        <w:rPr>
          <w:rFonts w:hint="eastAsia" w:asciiTheme="minorEastAsia" w:hAnsiTheme="minorEastAsia" w:eastAsiaTheme="minorEastAsia" w:cstheme="minorEastAsia"/>
          <w:b w:val="0"/>
          <w:bCs/>
          <w:color w:val="auto"/>
          <w:sz w:val="24"/>
          <w:lang w:val="en-US" w:eastAsia="zh-CN"/>
        </w:rPr>
        <w:t>15892101532，</w:t>
      </w:r>
      <w:r>
        <w:rPr>
          <w:rFonts w:hint="eastAsia" w:asciiTheme="minorEastAsia" w:hAnsiTheme="minorEastAsia" w:eastAsiaTheme="minorEastAsia" w:cstheme="minorEastAsia"/>
          <w:b w:val="0"/>
          <w:bCs/>
          <w:color w:val="auto"/>
          <w:sz w:val="24"/>
        </w:rPr>
        <w:t>0593-2628699</w:t>
      </w:r>
    </w:p>
    <w:p w14:paraId="0BEC3DB0">
      <w:pPr>
        <w:pStyle w:val="4"/>
        <w:spacing w:before="42"/>
        <w:rPr>
          <w:rFonts w:hint="eastAsia" w:asciiTheme="minorEastAsia" w:hAnsiTheme="minorEastAsia" w:eastAsiaTheme="minorEastAsia" w:cstheme="minorEastAsia"/>
          <w:color w:val="auto"/>
        </w:rPr>
      </w:pPr>
    </w:p>
    <w:p w14:paraId="72803887">
      <w:pPr>
        <w:pStyle w:val="4"/>
        <w:spacing w:before="4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附 1：账户信息</w:t>
      </w:r>
    </w:p>
    <w:tbl>
      <w:tblPr>
        <w:tblStyle w:val="18"/>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242"/>
      </w:tblGrid>
      <w:tr w14:paraId="7D00B2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vAlign w:val="top"/>
          </w:tcPr>
          <w:p w14:paraId="4A113B3B">
            <w:pPr>
              <w:pStyle w:val="25"/>
              <w:spacing w:before="97" w:line="303" w:lineRule="exact"/>
              <w:ind w:left="107" w:leftChars="0" w:right="0" w:rightChars="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lang w:val="zh-CN"/>
              </w:rPr>
              <w:t>报名费、服务费专户、</w:t>
            </w:r>
            <w:r>
              <w:rPr>
                <w:rFonts w:hint="eastAsia" w:asciiTheme="minorEastAsia" w:hAnsiTheme="minorEastAsia" w:eastAsiaTheme="minorEastAsia" w:cstheme="minorEastAsia"/>
                <w:b/>
                <w:bCs/>
                <w:color w:val="auto"/>
                <w:sz w:val="24"/>
              </w:rPr>
              <w:t>投标保证金账户</w:t>
            </w:r>
          </w:p>
        </w:tc>
      </w:tr>
      <w:tr w14:paraId="210FED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vAlign w:val="top"/>
          </w:tcPr>
          <w:p w14:paraId="3EEB8D4C">
            <w:pPr>
              <w:pStyle w:val="25"/>
              <w:spacing w:before="96" w:line="304" w:lineRule="exact"/>
              <w:ind w:left="107" w:leftChars="0" w:right="0" w:rightChars="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开户名称：锐驰项目管理有限公司宁德分公司</w:t>
            </w:r>
          </w:p>
        </w:tc>
      </w:tr>
      <w:tr w14:paraId="34932D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vAlign w:val="top"/>
          </w:tcPr>
          <w:p w14:paraId="41E8B7B9">
            <w:pPr>
              <w:pStyle w:val="25"/>
              <w:spacing w:before="96" w:line="304" w:lineRule="exact"/>
              <w:ind w:left="107" w:leftChars="0" w:right="0" w:rightChars="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开户银行：中国农业银行宁德东侨支行</w:t>
            </w:r>
          </w:p>
        </w:tc>
      </w:tr>
      <w:tr w14:paraId="2D15B9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vAlign w:val="top"/>
          </w:tcPr>
          <w:p w14:paraId="021C6154">
            <w:pPr>
              <w:pStyle w:val="25"/>
              <w:spacing w:before="96" w:line="304" w:lineRule="exact"/>
              <w:ind w:left="107" w:leftChars="0" w:right="0" w:rightChars="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en-US"/>
              </w:rPr>
              <w:t>银行账号：13210401040024628</w:t>
            </w:r>
          </w:p>
        </w:tc>
      </w:tr>
      <w:tr w14:paraId="008330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vAlign w:val="top"/>
          </w:tcPr>
          <w:p w14:paraId="0024CCEB">
            <w:pPr>
              <w:pStyle w:val="25"/>
              <w:spacing w:before="96" w:line="304" w:lineRule="exact"/>
              <w:ind w:left="107" w:leftChars="0" w:right="0" w:rightChars="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银行账号：供应商应按照所投采购包的投标保证金要求，缴交相应的投标保证金。</w:t>
            </w:r>
          </w:p>
        </w:tc>
      </w:tr>
      <w:tr w14:paraId="67617F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tcPr>
          <w:p w14:paraId="5B148249">
            <w:pPr>
              <w:pStyle w:val="25"/>
              <w:spacing w:before="96" w:line="304" w:lineRule="exact"/>
              <w:ind w:left="4119" w:right="4117"/>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特别提示</w:t>
            </w:r>
          </w:p>
        </w:tc>
      </w:tr>
      <w:tr w14:paraId="084BC2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0" w:hRule="atLeast"/>
        </w:trPr>
        <w:tc>
          <w:tcPr>
            <w:tcW w:w="9242" w:type="dxa"/>
          </w:tcPr>
          <w:p w14:paraId="5B58D9D5">
            <w:pPr>
              <w:pStyle w:val="25"/>
              <w:spacing w:before="2" w:line="420" w:lineRule="exact"/>
              <w:ind w:left="107" w:right="-29"/>
              <w:rPr>
                <w:rFonts w:hint="eastAsia" w:asciiTheme="minorEastAsia" w:hAnsiTheme="minorEastAsia" w:eastAsiaTheme="minorEastAsia" w:cstheme="minorEastAsia"/>
                <w:color w:val="auto"/>
                <w:spacing w:val="-3"/>
                <w:sz w:val="24"/>
              </w:rPr>
            </w:pPr>
            <w:r>
              <w:rPr>
                <w:rFonts w:hint="eastAsia" w:asciiTheme="minorEastAsia" w:hAnsiTheme="minorEastAsia" w:eastAsiaTheme="minorEastAsia" w:cstheme="minorEastAsia"/>
                <w:color w:val="auto"/>
                <w:sz w:val="24"/>
              </w:rPr>
              <w:t>1.</w:t>
            </w:r>
            <w:r>
              <w:rPr>
                <w:rFonts w:hint="eastAsia" w:asciiTheme="minorEastAsia" w:hAnsiTheme="minorEastAsia" w:eastAsiaTheme="minorEastAsia" w:cstheme="minorEastAsia"/>
                <w:color w:val="auto"/>
                <w:spacing w:val="-3"/>
                <w:sz w:val="24"/>
              </w:rPr>
              <w:t xml:space="preserve">投标人应认真核对账户信息，将投标保证金汇入以上账户，并自行承担因汇错投标保证金而产生的一切后果。 </w:t>
            </w:r>
          </w:p>
          <w:p w14:paraId="20A25A83">
            <w:pPr>
              <w:pStyle w:val="25"/>
              <w:spacing w:before="2" w:line="420" w:lineRule="exact"/>
              <w:ind w:left="107" w:right="-2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3"/>
                <w:sz w:val="24"/>
              </w:rPr>
              <w:t>2.</w:t>
            </w:r>
            <w:r>
              <w:rPr>
                <w:rFonts w:hint="eastAsia" w:asciiTheme="minorEastAsia" w:hAnsiTheme="minorEastAsia" w:eastAsiaTheme="minorEastAsia" w:cstheme="minorEastAsia"/>
                <w:color w:val="auto"/>
                <w:spacing w:val="-6"/>
                <w:sz w:val="24"/>
              </w:rPr>
              <w:t>投标人在转账或电汇的凭证上应按照以下格式注明，以便核对：“</w:t>
            </w:r>
            <w:r>
              <w:rPr>
                <w:rFonts w:hint="eastAsia" w:asciiTheme="minorEastAsia" w:hAnsiTheme="minorEastAsia" w:eastAsiaTheme="minorEastAsia" w:cstheme="minorEastAsia"/>
                <w:color w:val="auto"/>
                <w:spacing w:val="-8"/>
                <w:sz w:val="24"/>
              </w:rPr>
              <w:t>（</w:t>
            </w:r>
            <w:r>
              <w:rPr>
                <w:rFonts w:hint="eastAsia" w:asciiTheme="minorEastAsia" w:hAnsiTheme="minorEastAsia" w:eastAsiaTheme="minorEastAsia" w:cstheme="minorEastAsia"/>
                <w:color w:val="auto"/>
                <w:sz w:val="24"/>
              </w:rPr>
              <w:t>项目编号：***） 的投标保证金”。</w:t>
            </w:r>
          </w:p>
        </w:tc>
      </w:tr>
    </w:tbl>
    <w:p w14:paraId="20FA1067">
      <w:pPr>
        <w:spacing w:after="0" w:line="420" w:lineRule="exact"/>
        <w:rPr>
          <w:rFonts w:hint="eastAsia" w:asciiTheme="minorEastAsia" w:hAnsiTheme="minorEastAsia" w:eastAsiaTheme="minorEastAsia" w:cstheme="minorEastAsia"/>
          <w:color w:val="auto"/>
          <w:sz w:val="24"/>
        </w:rPr>
        <w:sectPr>
          <w:footerReference r:id="rId6" w:type="default"/>
          <w:pgSz w:w="11910" w:h="16840"/>
          <w:pgMar w:top="1460" w:right="860" w:bottom="1160" w:left="1220" w:header="0" w:footer="890" w:gutter="0"/>
          <w:pgNumType w:fmt="decimal" w:start="1"/>
          <w:cols w:space="720" w:num="1"/>
        </w:sectPr>
      </w:pPr>
    </w:p>
    <w:p w14:paraId="4F5FBAB2">
      <w:pPr>
        <w:pStyle w:val="26"/>
        <w:spacing w:line="360" w:lineRule="auto"/>
        <w:jc w:val="both"/>
        <w:outlineLvl w:val="2"/>
        <w:rPr>
          <w:rFonts w:hint="eastAsia" w:ascii="宋体" w:hAnsi="宋体" w:eastAsia="宋体" w:cs="宋体"/>
          <w:color w:val="auto"/>
          <w:sz w:val="24"/>
          <w:szCs w:val="24"/>
        </w:rPr>
      </w:pPr>
      <w:bookmarkStart w:id="19" w:name="第二章 投标人须知前附表"/>
      <w:bookmarkEnd w:id="19"/>
      <w:bookmarkStart w:id="20" w:name="附2：采购标的一览表"/>
      <w:bookmarkEnd w:id="20"/>
      <w:r>
        <w:rPr>
          <w:rFonts w:hint="eastAsia" w:ascii="宋体" w:hAnsi="宋体" w:eastAsia="宋体" w:cs="宋体"/>
          <w:b/>
          <w:color w:val="auto"/>
          <w:sz w:val="24"/>
          <w:szCs w:val="24"/>
        </w:rPr>
        <w:t>附2：采购标的一览表</w:t>
      </w:r>
    </w:p>
    <w:p w14:paraId="0F3432C2">
      <w:pPr>
        <w:pStyle w:val="26"/>
        <w:spacing w:line="360" w:lineRule="auto"/>
        <w:jc w:val="left"/>
        <w:rPr>
          <w:rFonts w:hint="eastAsia" w:ascii="宋体" w:hAnsi="宋体" w:eastAsia="宋体" w:cs="宋体"/>
          <w:color w:val="auto"/>
          <w:sz w:val="24"/>
          <w:szCs w:val="24"/>
        </w:rPr>
      </w:pPr>
      <w:r>
        <w:rPr>
          <w:rFonts w:hint="eastAsia" w:ascii="宋体" w:hAnsi="宋体" w:eastAsia="宋体" w:cs="宋体"/>
          <w:color w:val="auto"/>
          <w:sz w:val="24"/>
          <w:szCs w:val="24"/>
        </w:rPr>
        <w:t>采购包1：</w:t>
      </w:r>
    </w:p>
    <w:p w14:paraId="351781EF">
      <w:pPr>
        <w:pStyle w:val="26"/>
        <w:spacing w:line="360" w:lineRule="auto"/>
        <w:jc w:val="left"/>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采购包预算金额（元）: 15720000</w:t>
      </w:r>
    </w:p>
    <w:p w14:paraId="7E14E013">
      <w:pPr>
        <w:pStyle w:val="26"/>
        <w:spacing w:line="360" w:lineRule="auto"/>
        <w:jc w:val="left"/>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采购包最高限价（元）: 15720000</w:t>
      </w:r>
    </w:p>
    <w:p w14:paraId="74FA45A9">
      <w:pPr>
        <w:pStyle w:val="26"/>
        <w:spacing w:line="360" w:lineRule="auto"/>
        <w:jc w:val="left"/>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采购包保证金金额（元）:</w:t>
      </w:r>
      <w:r>
        <w:rPr>
          <w:rFonts w:hint="eastAsia" w:ascii="宋体" w:hAnsi="宋体" w:eastAsia="宋体" w:cs="宋体"/>
          <w:color w:val="auto"/>
          <w:sz w:val="24"/>
          <w:szCs w:val="24"/>
          <w:lang w:val="en-US" w:eastAsia="zh-CN"/>
        </w:rPr>
        <w:t>50000</w:t>
      </w:r>
    </w:p>
    <w:tbl>
      <w:tblPr>
        <w:tblStyle w:val="18"/>
        <w:tblW w:w="4998"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34"/>
        <w:gridCol w:w="1434"/>
        <w:gridCol w:w="1434"/>
        <w:gridCol w:w="1434"/>
        <w:gridCol w:w="1434"/>
        <w:gridCol w:w="1435"/>
        <w:gridCol w:w="1437"/>
      </w:tblGrid>
      <w:tr w14:paraId="42DA8D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70" w:hRule="atLeast"/>
        </w:trPr>
        <w:tc>
          <w:tcPr>
            <w:tcW w:w="714" w:type="pct"/>
          </w:tcPr>
          <w:p w14:paraId="377F8DA8">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序号</w:t>
            </w:r>
          </w:p>
        </w:tc>
        <w:tc>
          <w:tcPr>
            <w:tcW w:w="714" w:type="pct"/>
          </w:tcPr>
          <w:p w14:paraId="656A5482">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标的名称</w:t>
            </w:r>
          </w:p>
        </w:tc>
        <w:tc>
          <w:tcPr>
            <w:tcW w:w="714" w:type="pct"/>
          </w:tcPr>
          <w:p w14:paraId="1AC41279">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数量</w:t>
            </w:r>
          </w:p>
        </w:tc>
        <w:tc>
          <w:tcPr>
            <w:tcW w:w="714" w:type="pct"/>
          </w:tcPr>
          <w:p w14:paraId="59007F15">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标的金额 （元）</w:t>
            </w:r>
          </w:p>
        </w:tc>
        <w:tc>
          <w:tcPr>
            <w:tcW w:w="714" w:type="pct"/>
          </w:tcPr>
          <w:p w14:paraId="3C166179">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计量单位</w:t>
            </w:r>
          </w:p>
        </w:tc>
        <w:tc>
          <w:tcPr>
            <w:tcW w:w="714" w:type="pct"/>
          </w:tcPr>
          <w:p w14:paraId="42806DE6">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所属行业</w:t>
            </w:r>
          </w:p>
        </w:tc>
        <w:tc>
          <w:tcPr>
            <w:tcW w:w="715" w:type="pct"/>
          </w:tcPr>
          <w:p w14:paraId="35ACE811">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是否允许进口产品</w:t>
            </w:r>
          </w:p>
        </w:tc>
      </w:tr>
      <w:tr w14:paraId="3F3424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00" w:hRule="atLeast"/>
        </w:trPr>
        <w:tc>
          <w:tcPr>
            <w:tcW w:w="714" w:type="pct"/>
          </w:tcPr>
          <w:p w14:paraId="6CB2D811">
            <w:pPr>
              <w:pStyle w:val="26"/>
              <w:spacing w:line="360" w:lineRule="auto"/>
              <w:jc w:val="center"/>
              <w:rPr>
                <w:rFonts w:hint="eastAsia" w:ascii="宋体" w:hAnsi="宋体" w:eastAsia="宋体" w:cs="宋体"/>
                <w:color w:val="auto"/>
                <w:sz w:val="24"/>
                <w:szCs w:val="24"/>
                <w:lang w:bidi="ar-SA"/>
              </w:rPr>
            </w:pPr>
          </w:p>
          <w:p w14:paraId="46275FD2">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1</w:t>
            </w:r>
          </w:p>
        </w:tc>
        <w:tc>
          <w:tcPr>
            <w:tcW w:w="714" w:type="pct"/>
          </w:tcPr>
          <w:p w14:paraId="3B66658E">
            <w:pPr>
              <w:pStyle w:val="26"/>
              <w:spacing w:before="105" w:after="150"/>
              <w:jc w:val="left"/>
              <w:rPr>
                <w:rFonts w:hint="default" w:ascii="宋体" w:hAnsi="宋体" w:eastAsia="宋体" w:cs="宋体"/>
                <w:b w:val="0"/>
                <w:bCs/>
                <w:color w:val="auto"/>
                <w:sz w:val="24"/>
                <w:lang w:val="en-US" w:eastAsia="zh-CN"/>
              </w:rPr>
            </w:pPr>
            <w:r>
              <w:rPr>
                <w:rFonts w:hint="eastAsia" w:ascii="宋体" w:hAnsi="宋体" w:eastAsia="宋体" w:cs="宋体"/>
                <w:b w:val="0"/>
                <w:bCs/>
                <w:color w:val="auto"/>
                <w:sz w:val="24"/>
                <w:lang w:eastAsia="zh-CN"/>
              </w:rPr>
              <w:t>纯电动</w:t>
            </w:r>
            <w:r>
              <w:rPr>
                <w:rFonts w:hint="eastAsia" w:ascii="宋体" w:hAnsi="宋体" w:eastAsia="宋体" w:cs="宋体"/>
                <w:b w:val="0"/>
                <w:bCs/>
                <w:color w:val="auto"/>
                <w:sz w:val="24"/>
                <w:lang w:val="en-US" w:eastAsia="zh-CN"/>
              </w:rPr>
              <w:t>城郊版公交车</w:t>
            </w:r>
          </w:p>
          <w:p w14:paraId="0D67DC34">
            <w:pPr>
              <w:pStyle w:val="26"/>
              <w:spacing w:line="360" w:lineRule="auto"/>
              <w:jc w:val="both"/>
              <w:rPr>
                <w:rFonts w:hint="eastAsia" w:ascii="宋体" w:hAnsi="宋体" w:eastAsia="宋体" w:cs="宋体"/>
                <w:color w:val="auto"/>
                <w:sz w:val="24"/>
                <w:szCs w:val="24"/>
                <w:lang w:bidi="ar-SA"/>
              </w:rPr>
            </w:pPr>
          </w:p>
        </w:tc>
        <w:tc>
          <w:tcPr>
            <w:tcW w:w="714" w:type="pct"/>
          </w:tcPr>
          <w:p w14:paraId="6AC72B0A">
            <w:pPr>
              <w:pStyle w:val="26"/>
              <w:spacing w:line="360" w:lineRule="auto"/>
              <w:jc w:val="center"/>
              <w:rPr>
                <w:rFonts w:hint="eastAsia" w:ascii="宋体" w:hAnsi="宋体" w:eastAsia="宋体" w:cs="宋体"/>
                <w:color w:val="auto"/>
                <w:sz w:val="24"/>
                <w:szCs w:val="24"/>
                <w:lang w:val="en-US" w:eastAsia="zh-CN" w:bidi="ar-SA"/>
              </w:rPr>
            </w:pPr>
          </w:p>
          <w:p w14:paraId="06E36226">
            <w:pPr>
              <w:pStyle w:val="26"/>
              <w:spacing w:line="360" w:lineRule="auto"/>
              <w:jc w:val="center"/>
              <w:rPr>
                <w:rFonts w:hint="default" w:ascii="宋体" w:hAnsi="宋体" w:eastAsia="宋体" w:cs="宋体"/>
                <w:color w:val="auto"/>
                <w:sz w:val="24"/>
                <w:szCs w:val="24"/>
                <w:lang w:val="en-US" w:eastAsia="zh-CN" w:bidi="ar-SA"/>
              </w:rPr>
            </w:pPr>
            <w:r>
              <w:rPr>
                <w:rFonts w:hint="eastAsia" w:ascii="宋体" w:hAnsi="宋体" w:eastAsia="宋体" w:cs="宋体"/>
                <w:color w:val="auto"/>
                <w:sz w:val="24"/>
                <w:szCs w:val="24"/>
                <w:lang w:val="en-US" w:eastAsia="zh-CN" w:bidi="ar-SA"/>
              </w:rPr>
              <w:t>15</w:t>
            </w:r>
          </w:p>
        </w:tc>
        <w:tc>
          <w:tcPr>
            <w:tcW w:w="714" w:type="pct"/>
          </w:tcPr>
          <w:p w14:paraId="5598B1EF">
            <w:pPr>
              <w:pStyle w:val="26"/>
              <w:spacing w:line="360" w:lineRule="auto"/>
              <w:jc w:val="center"/>
              <w:rPr>
                <w:rFonts w:hint="eastAsia" w:ascii="宋体" w:hAnsi="宋体" w:eastAsia="宋体" w:cs="宋体"/>
                <w:color w:val="auto"/>
                <w:sz w:val="24"/>
                <w:szCs w:val="24"/>
                <w:lang w:val="en-US" w:eastAsia="zh-CN" w:bidi="ar-SA"/>
              </w:rPr>
            </w:pPr>
          </w:p>
          <w:p w14:paraId="72A2A641">
            <w:pPr>
              <w:pStyle w:val="26"/>
              <w:spacing w:line="360" w:lineRule="auto"/>
              <w:jc w:val="center"/>
              <w:rPr>
                <w:rFonts w:hint="default" w:ascii="宋体" w:hAnsi="宋体" w:eastAsia="宋体" w:cs="宋体"/>
                <w:color w:val="auto"/>
                <w:sz w:val="24"/>
                <w:szCs w:val="24"/>
                <w:lang w:val="en-US" w:eastAsia="zh-CN" w:bidi="ar-SA"/>
              </w:rPr>
            </w:pPr>
            <w:r>
              <w:rPr>
                <w:rFonts w:hint="eastAsia" w:ascii="宋体" w:hAnsi="宋体" w:eastAsia="宋体" w:cs="宋体"/>
                <w:color w:val="auto"/>
                <w:sz w:val="24"/>
                <w:szCs w:val="24"/>
              </w:rPr>
              <w:t>15720000</w:t>
            </w:r>
          </w:p>
        </w:tc>
        <w:tc>
          <w:tcPr>
            <w:tcW w:w="714" w:type="pct"/>
            <w:vAlign w:val="center"/>
          </w:tcPr>
          <w:p w14:paraId="35058163">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辆</w:t>
            </w:r>
          </w:p>
        </w:tc>
        <w:tc>
          <w:tcPr>
            <w:tcW w:w="714" w:type="pct"/>
            <w:vAlign w:val="center"/>
          </w:tcPr>
          <w:p w14:paraId="1AD014DA">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工业</w:t>
            </w:r>
          </w:p>
        </w:tc>
        <w:tc>
          <w:tcPr>
            <w:tcW w:w="715" w:type="pct"/>
            <w:vAlign w:val="center"/>
          </w:tcPr>
          <w:p w14:paraId="65C9960F">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否</w:t>
            </w:r>
          </w:p>
        </w:tc>
      </w:tr>
    </w:tbl>
    <w:p w14:paraId="454B86E1">
      <w:pPr>
        <w:pStyle w:val="26"/>
        <w:spacing w:line="360" w:lineRule="auto"/>
        <w:jc w:val="left"/>
        <w:rPr>
          <w:rFonts w:hint="eastAsia" w:ascii="宋体" w:hAnsi="宋体" w:eastAsia="宋体" w:cs="宋体"/>
          <w:color w:val="auto"/>
          <w:sz w:val="24"/>
          <w:szCs w:val="24"/>
        </w:rPr>
      </w:pPr>
      <w:r>
        <w:rPr>
          <w:rFonts w:hint="eastAsia" w:ascii="宋体" w:hAnsi="宋体" w:eastAsia="宋体" w:cs="宋体"/>
          <w:color w:val="auto"/>
          <w:sz w:val="24"/>
          <w:szCs w:val="24"/>
        </w:rPr>
        <w:t>采购包</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w:t>
      </w:r>
    </w:p>
    <w:p w14:paraId="785E7D26">
      <w:pPr>
        <w:pStyle w:val="26"/>
        <w:spacing w:line="360" w:lineRule="auto"/>
        <w:jc w:val="left"/>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 xml:space="preserve">采购包预算金额（元）: </w:t>
      </w:r>
      <w:r>
        <w:rPr>
          <w:rFonts w:hint="eastAsia" w:ascii="宋体" w:hAnsi="宋体" w:eastAsia="宋体" w:cs="宋体"/>
          <w:color w:val="auto"/>
          <w:sz w:val="24"/>
          <w:szCs w:val="24"/>
          <w:lang w:val="en-US" w:eastAsia="zh-CN"/>
        </w:rPr>
        <w:t>4760000</w:t>
      </w:r>
    </w:p>
    <w:p w14:paraId="693851FE">
      <w:pPr>
        <w:pStyle w:val="26"/>
        <w:spacing w:line="360" w:lineRule="auto"/>
        <w:jc w:val="left"/>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 xml:space="preserve">采购包最高限价（元）: </w:t>
      </w:r>
      <w:r>
        <w:rPr>
          <w:rFonts w:hint="eastAsia" w:ascii="宋体" w:hAnsi="宋体" w:eastAsia="宋体" w:cs="宋体"/>
          <w:color w:val="auto"/>
          <w:sz w:val="24"/>
          <w:szCs w:val="24"/>
          <w:lang w:val="en-US" w:eastAsia="zh-CN"/>
        </w:rPr>
        <w:t>4760000</w:t>
      </w:r>
    </w:p>
    <w:p w14:paraId="79DFF3A5">
      <w:pPr>
        <w:pStyle w:val="26"/>
        <w:spacing w:line="360" w:lineRule="auto"/>
        <w:jc w:val="left"/>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采购包保证金金额（元）:</w:t>
      </w:r>
      <w:r>
        <w:rPr>
          <w:rFonts w:hint="eastAsia" w:ascii="宋体" w:hAnsi="宋体" w:eastAsia="宋体" w:cs="宋体"/>
          <w:color w:val="auto"/>
          <w:sz w:val="24"/>
          <w:szCs w:val="24"/>
          <w:lang w:val="en-US" w:eastAsia="zh-CN"/>
        </w:rPr>
        <w:t>20000</w:t>
      </w:r>
    </w:p>
    <w:tbl>
      <w:tblPr>
        <w:tblStyle w:val="18"/>
        <w:tblW w:w="4998"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34"/>
        <w:gridCol w:w="1434"/>
        <w:gridCol w:w="1434"/>
        <w:gridCol w:w="1434"/>
        <w:gridCol w:w="1434"/>
        <w:gridCol w:w="1435"/>
        <w:gridCol w:w="1437"/>
      </w:tblGrid>
      <w:tr w14:paraId="09B203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70" w:hRule="atLeast"/>
        </w:trPr>
        <w:tc>
          <w:tcPr>
            <w:tcW w:w="714" w:type="pct"/>
          </w:tcPr>
          <w:p w14:paraId="56D98157">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序号</w:t>
            </w:r>
          </w:p>
        </w:tc>
        <w:tc>
          <w:tcPr>
            <w:tcW w:w="714" w:type="pct"/>
          </w:tcPr>
          <w:p w14:paraId="59E3F3BC">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标的名称</w:t>
            </w:r>
          </w:p>
        </w:tc>
        <w:tc>
          <w:tcPr>
            <w:tcW w:w="714" w:type="pct"/>
          </w:tcPr>
          <w:p w14:paraId="22F84FEA">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数量</w:t>
            </w:r>
          </w:p>
        </w:tc>
        <w:tc>
          <w:tcPr>
            <w:tcW w:w="714" w:type="pct"/>
          </w:tcPr>
          <w:p w14:paraId="0472BF57">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标的金额 （元）</w:t>
            </w:r>
          </w:p>
        </w:tc>
        <w:tc>
          <w:tcPr>
            <w:tcW w:w="714" w:type="pct"/>
          </w:tcPr>
          <w:p w14:paraId="3FF25063">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计量单位</w:t>
            </w:r>
          </w:p>
        </w:tc>
        <w:tc>
          <w:tcPr>
            <w:tcW w:w="714" w:type="pct"/>
          </w:tcPr>
          <w:p w14:paraId="28725254">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所属行业</w:t>
            </w:r>
          </w:p>
        </w:tc>
        <w:tc>
          <w:tcPr>
            <w:tcW w:w="715" w:type="pct"/>
          </w:tcPr>
          <w:p w14:paraId="45994E42">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是否允许进口产品</w:t>
            </w:r>
          </w:p>
        </w:tc>
      </w:tr>
      <w:tr w14:paraId="27E085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50" w:hRule="atLeast"/>
        </w:trPr>
        <w:tc>
          <w:tcPr>
            <w:tcW w:w="714" w:type="pct"/>
          </w:tcPr>
          <w:p w14:paraId="09896A7D">
            <w:pPr>
              <w:pStyle w:val="26"/>
              <w:spacing w:line="360" w:lineRule="auto"/>
              <w:jc w:val="center"/>
              <w:rPr>
                <w:rFonts w:hint="eastAsia" w:ascii="宋体" w:hAnsi="宋体" w:eastAsia="宋体" w:cs="宋体"/>
                <w:color w:val="auto"/>
                <w:sz w:val="24"/>
                <w:szCs w:val="24"/>
                <w:lang w:bidi="ar-SA"/>
              </w:rPr>
            </w:pPr>
          </w:p>
          <w:p w14:paraId="11442789">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1</w:t>
            </w:r>
          </w:p>
        </w:tc>
        <w:tc>
          <w:tcPr>
            <w:tcW w:w="714" w:type="pct"/>
          </w:tcPr>
          <w:p w14:paraId="5A0EA3AC">
            <w:pPr>
              <w:rPr>
                <w:rFonts w:hint="eastAsia" w:ascii="宋体" w:hAnsi="宋体" w:eastAsia="宋体" w:cs="宋体"/>
                <w:b w:val="0"/>
                <w:bCs/>
                <w:color w:val="auto"/>
                <w:sz w:val="24"/>
                <w:lang w:val="en-US" w:eastAsia="zh-CN"/>
              </w:rPr>
            </w:pPr>
            <w:r>
              <w:rPr>
                <w:rFonts w:hint="eastAsia" w:ascii="宋体" w:hAnsi="宋体" w:eastAsia="宋体" w:cs="宋体"/>
                <w:b w:val="0"/>
                <w:bCs/>
                <w:color w:val="auto"/>
                <w:sz w:val="24"/>
                <w:lang w:val="en-US" w:eastAsia="zh-CN"/>
              </w:rPr>
              <w:t>长续航版纯电动客车</w:t>
            </w:r>
          </w:p>
          <w:p w14:paraId="6787F367">
            <w:pPr>
              <w:pStyle w:val="26"/>
              <w:spacing w:line="360" w:lineRule="auto"/>
              <w:jc w:val="both"/>
              <w:rPr>
                <w:rFonts w:hint="eastAsia" w:ascii="宋体" w:hAnsi="宋体" w:eastAsia="宋体" w:cs="宋体"/>
                <w:color w:val="auto"/>
                <w:sz w:val="24"/>
                <w:szCs w:val="24"/>
                <w:lang w:bidi="ar-SA"/>
              </w:rPr>
            </w:pPr>
          </w:p>
        </w:tc>
        <w:tc>
          <w:tcPr>
            <w:tcW w:w="714" w:type="pct"/>
          </w:tcPr>
          <w:p w14:paraId="26713895">
            <w:pPr>
              <w:pStyle w:val="26"/>
              <w:spacing w:line="360" w:lineRule="auto"/>
              <w:jc w:val="center"/>
              <w:rPr>
                <w:rFonts w:hint="default" w:ascii="宋体" w:hAnsi="宋体" w:eastAsia="宋体" w:cs="宋体"/>
                <w:color w:val="auto"/>
                <w:sz w:val="24"/>
                <w:szCs w:val="24"/>
                <w:lang w:val="en-US" w:eastAsia="zh-CN" w:bidi="ar-SA"/>
              </w:rPr>
            </w:pPr>
            <w:r>
              <w:rPr>
                <w:rFonts w:hint="eastAsia" w:ascii="宋体" w:hAnsi="宋体" w:eastAsia="宋体" w:cs="宋体"/>
                <w:color w:val="auto"/>
                <w:sz w:val="24"/>
                <w:szCs w:val="24"/>
                <w:lang w:val="en-US" w:eastAsia="zh-CN" w:bidi="ar-SA"/>
              </w:rPr>
              <w:t>5</w:t>
            </w:r>
          </w:p>
        </w:tc>
        <w:tc>
          <w:tcPr>
            <w:tcW w:w="714" w:type="pct"/>
          </w:tcPr>
          <w:p w14:paraId="1D4F7DBB">
            <w:pPr>
              <w:pStyle w:val="26"/>
              <w:spacing w:line="360" w:lineRule="auto"/>
              <w:jc w:val="center"/>
              <w:rPr>
                <w:rFonts w:hint="default" w:ascii="宋体" w:hAnsi="宋体" w:eastAsia="宋体" w:cs="宋体"/>
                <w:color w:val="auto"/>
                <w:sz w:val="24"/>
                <w:szCs w:val="24"/>
                <w:lang w:val="en-US" w:eastAsia="zh-CN" w:bidi="ar-SA"/>
              </w:rPr>
            </w:pPr>
            <w:r>
              <w:rPr>
                <w:rFonts w:hint="eastAsia" w:ascii="宋体" w:hAnsi="宋体" w:eastAsia="宋体" w:cs="宋体"/>
                <w:color w:val="auto"/>
                <w:sz w:val="24"/>
                <w:szCs w:val="24"/>
                <w:lang w:val="en-US" w:eastAsia="zh-CN"/>
              </w:rPr>
              <w:t>4760000</w:t>
            </w:r>
          </w:p>
        </w:tc>
        <w:tc>
          <w:tcPr>
            <w:tcW w:w="714" w:type="pct"/>
            <w:vAlign w:val="center"/>
          </w:tcPr>
          <w:p w14:paraId="5BFA7054">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辆</w:t>
            </w:r>
          </w:p>
        </w:tc>
        <w:tc>
          <w:tcPr>
            <w:tcW w:w="714" w:type="pct"/>
            <w:vAlign w:val="center"/>
          </w:tcPr>
          <w:p w14:paraId="35968325">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工业</w:t>
            </w:r>
          </w:p>
        </w:tc>
        <w:tc>
          <w:tcPr>
            <w:tcW w:w="715" w:type="pct"/>
            <w:vAlign w:val="center"/>
          </w:tcPr>
          <w:p w14:paraId="6DE015FE">
            <w:pPr>
              <w:pStyle w:val="26"/>
              <w:spacing w:line="360" w:lineRule="auto"/>
              <w:jc w:val="center"/>
              <w:rPr>
                <w:rFonts w:hint="eastAsia" w:ascii="宋体" w:hAnsi="宋体" w:eastAsia="宋体" w:cs="宋体"/>
                <w:color w:val="auto"/>
                <w:sz w:val="24"/>
                <w:szCs w:val="24"/>
                <w:lang w:bidi="ar-SA"/>
              </w:rPr>
            </w:pPr>
            <w:r>
              <w:rPr>
                <w:rFonts w:hint="eastAsia" w:ascii="宋体" w:hAnsi="宋体" w:eastAsia="宋体" w:cs="宋体"/>
                <w:color w:val="auto"/>
                <w:sz w:val="24"/>
                <w:szCs w:val="24"/>
                <w:lang w:bidi="ar-SA"/>
              </w:rPr>
              <w:t>否</w:t>
            </w:r>
          </w:p>
        </w:tc>
      </w:tr>
    </w:tbl>
    <w:p w14:paraId="416F5D1A">
      <w:pPr>
        <w:rPr>
          <w:rFonts w:hint="eastAsia" w:asciiTheme="minorEastAsia" w:hAnsiTheme="minorEastAsia" w:eastAsiaTheme="minorEastAsia" w:cstheme="minorEastAsia"/>
          <w:b/>
          <w:color w:val="auto"/>
          <w:sz w:val="32"/>
        </w:rPr>
      </w:pPr>
    </w:p>
    <w:p w14:paraId="745B5D76">
      <w:pPr>
        <w:spacing w:before="30"/>
        <w:ind w:left="2886" w:right="0" w:firstLine="0"/>
        <w:jc w:val="left"/>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sz w:val="32"/>
        </w:rPr>
        <w:t>第二章 投标人须知前附</w:t>
      </w:r>
    </w:p>
    <w:p w14:paraId="3D4CBD5A">
      <w:pPr>
        <w:spacing w:before="67" w:after="15"/>
        <w:ind w:left="220" w:right="0" w:firstLine="0"/>
        <w:jc w:val="left"/>
        <w:rPr>
          <w:rFonts w:hint="eastAsia" w:asciiTheme="minorEastAsia" w:hAnsiTheme="minorEastAsia" w:eastAsiaTheme="minorEastAsia" w:cstheme="minorEastAsia"/>
          <w:b/>
          <w:color w:val="auto"/>
          <w:sz w:val="24"/>
        </w:rPr>
      </w:pPr>
      <w:bookmarkStart w:id="21" w:name="一、投标人须知前附表1"/>
      <w:bookmarkEnd w:id="21"/>
      <w:r>
        <w:rPr>
          <w:rFonts w:hint="eastAsia" w:asciiTheme="minorEastAsia" w:hAnsiTheme="minorEastAsia" w:eastAsiaTheme="minorEastAsia" w:cstheme="minorEastAsia"/>
          <w:b/>
          <w:color w:val="auto"/>
          <w:sz w:val="24"/>
        </w:rPr>
        <w:t>一、投标人须知前附表 1</w:t>
      </w:r>
    </w:p>
    <w:tbl>
      <w:tblPr>
        <w:tblStyle w:val="18"/>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2"/>
        <w:gridCol w:w="1114"/>
        <w:gridCol w:w="7636"/>
      </w:tblGrid>
      <w:tr w14:paraId="4D9B21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gridSpan w:val="3"/>
          </w:tcPr>
          <w:p w14:paraId="0DE09A9B">
            <w:pPr>
              <w:pStyle w:val="25"/>
              <w:keepNext w:val="0"/>
              <w:keepLines w:val="0"/>
              <w:pageBreakBefore w:val="0"/>
              <w:widowControl w:val="0"/>
              <w:kinsoku/>
              <w:wordWrap/>
              <w:overflowPunct/>
              <w:topLinePunct w:val="0"/>
              <w:autoSpaceDE w:val="0"/>
              <w:autoSpaceDN w:val="0"/>
              <w:bidi w:val="0"/>
              <w:adjustRightInd/>
              <w:snapToGrid/>
              <w:spacing w:before="97" w:line="400" w:lineRule="exact"/>
              <w:ind w:left="107"/>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特别提示：本表与招标文件对应章节的内容若不一致，以本表为准。</w:t>
            </w:r>
          </w:p>
        </w:tc>
      </w:tr>
      <w:tr w14:paraId="37C5A2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0" w:hRule="atLeast"/>
        </w:trPr>
        <w:tc>
          <w:tcPr>
            <w:tcW w:w="492" w:type="dxa"/>
          </w:tcPr>
          <w:p w14:paraId="4A9FDE24">
            <w:pPr>
              <w:pStyle w:val="25"/>
              <w:keepNext w:val="0"/>
              <w:keepLines w:val="0"/>
              <w:pageBreakBefore w:val="0"/>
              <w:widowControl w:val="0"/>
              <w:kinsoku/>
              <w:wordWrap/>
              <w:overflowPunct/>
              <w:topLinePunct w:val="0"/>
              <w:autoSpaceDE w:val="0"/>
              <w:autoSpaceDN w:val="0"/>
              <w:bidi w:val="0"/>
              <w:adjustRightInd/>
              <w:snapToGrid/>
              <w:spacing w:line="400" w:lineRule="exact"/>
              <w:ind w:left="124" w:right="120"/>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序号</w:t>
            </w:r>
          </w:p>
        </w:tc>
        <w:tc>
          <w:tcPr>
            <w:tcW w:w="1114" w:type="dxa"/>
          </w:tcPr>
          <w:p w14:paraId="3A5C1BEC">
            <w:pPr>
              <w:pStyle w:val="25"/>
              <w:keepNext w:val="0"/>
              <w:keepLines w:val="0"/>
              <w:pageBreakBefore w:val="0"/>
              <w:widowControl w:val="0"/>
              <w:kinsoku/>
              <w:wordWrap/>
              <w:overflowPunct/>
              <w:topLinePunct w:val="0"/>
              <w:autoSpaceDE w:val="0"/>
              <w:autoSpaceDN w:val="0"/>
              <w:bidi w:val="0"/>
              <w:adjustRightInd/>
              <w:snapToGrid/>
              <w:spacing w:before="96" w:line="400" w:lineRule="exact"/>
              <w:ind w:left="189"/>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招标文件</w:t>
            </w:r>
          </w:p>
          <w:p w14:paraId="7CE2F883">
            <w:pPr>
              <w:pStyle w:val="25"/>
              <w:keepNext w:val="0"/>
              <w:keepLines w:val="0"/>
              <w:pageBreakBefore w:val="0"/>
              <w:widowControl w:val="0"/>
              <w:kinsoku/>
              <w:wordWrap/>
              <w:overflowPunct/>
              <w:topLinePunct w:val="0"/>
              <w:autoSpaceDE w:val="0"/>
              <w:autoSpaceDN w:val="0"/>
              <w:bidi w:val="0"/>
              <w:adjustRightInd/>
              <w:snapToGrid/>
              <w:spacing w:before="113" w:line="400" w:lineRule="exact"/>
              <w:ind w:left="107"/>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（第三章）</w:t>
            </w:r>
          </w:p>
        </w:tc>
        <w:tc>
          <w:tcPr>
            <w:tcW w:w="7636" w:type="dxa"/>
          </w:tcPr>
          <w:p w14:paraId="70446D47">
            <w:pPr>
              <w:pStyle w:val="25"/>
              <w:keepNext w:val="0"/>
              <w:keepLines w:val="0"/>
              <w:pageBreakBefore w:val="0"/>
              <w:widowControl w:val="0"/>
              <w:kinsoku/>
              <w:wordWrap/>
              <w:overflowPunct/>
              <w:topLinePunct w:val="0"/>
              <w:autoSpaceDE w:val="0"/>
              <w:autoSpaceDN w:val="0"/>
              <w:bidi w:val="0"/>
              <w:adjustRightInd/>
              <w:snapToGrid/>
              <w:spacing w:line="400" w:lineRule="exact"/>
              <w:ind w:left="3206" w:right="3200"/>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编列内容</w:t>
            </w:r>
          </w:p>
        </w:tc>
      </w:tr>
      <w:tr w14:paraId="4F7716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0" w:hRule="atLeast"/>
        </w:trPr>
        <w:tc>
          <w:tcPr>
            <w:tcW w:w="492" w:type="dxa"/>
          </w:tcPr>
          <w:p w14:paraId="353B4101">
            <w:pPr>
              <w:pStyle w:val="25"/>
              <w:keepNext w:val="0"/>
              <w:keepLines w:val="0"/>
              <w:pageBreakBefore w:val="0"/>
              <w:widowControl w:val="0"/>
              <w:kinsoku/>
              <w:wordWrap/>
              <w:overflowPunct/>
              <w:topLinePunct w:val="0"/>
              <w:autoSpaceDE w:val="0"/>
              <w:autoSpaceDN w:val="0"/>
              <w:bidi w:val="0"/>
              <w:adjustRightInd/>
              <w:snapToGrid/>
              <w:spacing w:before="1" w:line="400" w:lineRule="exact"/>
              <w:ind w:left="184"/>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1114" w:type="dxa"/>
          </w:tcPr>
          <w:p w14:paraId="2C4E0023">
            <w:pPr>
              <w:pStyle w:val="25"/>
              <w:keepNext w:val="0"/>
              <w:keepLines w:val="0"/>
              <w:pageBreakBefore w:val="0"/>
              <w:widowControl w:val="0"/>
              <w:kinsoku/>
              <w:wordWrap/>
              <w:overflowPunct/>
              <w:topLinePunct w:val="0"/>
              <w:autoSpaceDE w:val="0"/>
              <w:autoSpaceDN w:val="0"/>
              <w:bidi w:val="0"/>
              <w:adjustRightInd/>
              <w:snapToGrid/>
              <w:spacing w:before="1" w:line="400" w:lineRule="exact"/>
              <w:ind w:left="96" w:right="94"/>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6.1</w:t>
            </w:r>
          </w:p>
        </w:tc>
        <w:tc>
          <w:tcPr>
            <w:tcW w:w="7636" w:type="dxa"/>
          </w:tcPr>
          <w:p w14:paraId="1E991CCA">
            <w:pPr>
              <w:pStyle w:val="25"/>
              <w:keepNext w:val="0"/>
              <w:keepLines w:val="0"/>
              <w:pageBreakBefore w:val="0"/>
              <w:widowControl w:val="0"/>
              <w:kinsoku/>
              <w:wordWrap/>
              <w:overflowPunct/>
              <w:topLinePunct w:val="0"/>
              <w:autoSpaceDE w:val="0"/>
              <w:autoSpaceDN w:val="0"/>
              <w:bidi w:val="0"/>
              <w:adjustRightInd/>
              <w:snapToGrid/>
              <w:spacing w:line="400" w:lineRule="exact"/>
              <w:ind w:left="106" w:right="2978"/>
              <w:textAlignment w:val="auto"/>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color w:val="auto"/>
                <w:sz w:val="24"/>
              </w:rPr>
              <w:t xml:space="preserve">是否组织现场考察或召开开标前答疑会： </w:t>
            </w:r>
            <w:r>
              <w:rPr>
                <w:rFonts w:hint="eastAsia" w:asciiTheme="minorEastAsia" w:hAnsiTheme="minorEastAsia" w:eastAsiaTheme="minorEastAsia" w:cstheme="minorEastAsia"/>
                <w:color w:val="auto"/>
                <w:sz w:val="24"/>
                <w:lang w:eastAsia="zh-CN"/>
              </w:rPr>
              <w:t>采购包</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b/>
                <w:color w:val="auto"/>
                <w:sz w:val="24"/>
              </w:rPr>
              <w:t>不组织；</w:t>
            </w:r>
            <w:r>
              <w:rPr>
                <w:rFonts w:hint="eastAsia" w:asciiTheme="minorEastAsia" w:hAnsiTheme="minorEastAsia" w:eastAsiaTheme="minorEastAsia" w:cstheme="minorEastAsia"/>
                <w:color w:val="auto"/>
                <w:sz w:val="24"/>
                <w:lang w:eastAsia="zh-CN"/>
              </w:rPr>
              <w:t>采购包</w:t>
            </w:r>
            <w:r>
              <w:rPr>
                <w:rFonts w:hint="eastAsia" w:asciiTheme="minorEastAsia" w:hAnsiTheme="minorEastAsia" w:eastAsiaTheme="minorEastAsia" w:cstheme="minorEastAsia"/>
                <w:color w:val="auto"/>
                <w:sz w:val="24"/>
                <w:lang w:val="en-US" w:eastAsia="zh-CN"/>
              </w:rPr>
              <w:t>2：</w:t>
            </w:r>
            <w:r>
              <w:rPr>
                <w:rFonts w:hint="eastAsia" w:asciiTheme="minorEastAsia" w:hAnsiTheme="minorEastAsia" w:eastAsiaTheme="minorEastAsia" w:cstheme="minorEastAsia"/>
                <w:b/>
                <w:color w:val="auto"/>
                <w:sz w:val="24"/>
              </w:rPr>
              <w:t>不组织；</w:t>
            </w:r>
          </w:p>
        </w:tc>
      </w:tr>
      <w:tr w14:paraId="6C9054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99" w:hRule="atLeast"/>
        </w:trPr>
        <w:tc>
          <w:tcPr>
            <w:tcW w:w="492" w:type="dxa"/>
          </w:tcPr>
          <w:p w14:paraId="06969FFB">
            <w:pPr>
              <w:pStyle w:val="25"/>
              <w:keepNext w:val="0"/>
              <w:keepLines w:val="0"/>
              <w:pageBreakBefore w:val="0"/>
              <w:widowControl w:val="0"/>
              <w:kinsoku/>
              <w:wordWrap/>
              <w:overflowPunct/>
              <w:topLinePunct w:val="0"/>
              <w:autoSpaceDE w:val="0"/>
              <w:autoSpaceDN w:val="0"/>
              <w:bidi w:val="0"/>
              <w:adjustRightInd/>
              <w:snapToGrid/>
              <w:spacing w:before="1" w:line="400" w:lineRule="exact"/>
              <w:ind w:left="184"/>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w:t>
            </w:r>
          </w:p>
        </w:tc>
        <w:tc>
          <w:tcPr>
            <w:tcW w:w="1114" w:type="dxa"/>
          </w:tcPr>
          <w:p w14:paraId="708919C1">
            <w:pPr>
              <w:pStyle w:val="25"/>
              <w:keepNext w:val="0"/>
              <w:keepLines w:val="0"/>
              <w:pageBreakBefore w:val="0"/>
              <w:widowControl w:val="0"/>
              <w:kinsoku/>
              <w:wordWrap/>
              <w:overflowPunct/>
              <w:topLinePunct w:val="0"/>
              <w:autoSpaceDE w:val="0"/>
              <w:autoSpaceDN w:val="0"/>
              <w:bidi w:val="0"/>
              <w:adjustRightInd/>
              <w:snapToGrid/>
              <w:spacing w:before="1" w:line="400" w:lineRule="exact"/>
              <w:ind w:left="96" w:right="91"/>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10.4</w:t>
            </w:r>
          </w:p>
        </w:tc>
        <w:tc>
          <w:tcPr>
            <w:tcW w:w="7636" w:type="dxa"/>
          </w:tcPr>
          <w:p w14:paraId="2CE72C66">
            <w:pPr>
              <w:pStyle w:val="25"/>
              <w:keepNext w:val="0"/>
              <w:keepLines w:val="0"/>
              <w:pageBreakBefore w:val="0"/>
              <w:widowControl w:val="0"/>
              <w:kinsoku/>
              <w:wordWrap/>
              <w:overflowPunct/>
              <w:topLinePunct w:val="0"/>
              <w:autoSpaceDE w:val="0"/>
              <w:autoSpaceDN w:val="0"/>
              <w:bidi w:val="0"/>
              <w:adjustRightInd/>
              <w:snapToGrid/>
              <w:spacing w:before="96" w:line="400" w:lineRule="exact"/>
              <w:ind w:left="106"/>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投标文件的份数：</w:t>
            </w:r>
          </w:p>
          <w:p w14:paraId="1FE33C61">
            <w:pPr>
              <w:pStyle w:val="25"/>
              <w:keepNext w:val="0"/>
              <w:keepLines w:val="0"/>
              <w:pageBreakBefore w:val="0"/>
              <w:widowControl w:val="0"/>
              <w:numPr>
                <w:ilvl w:val="0"/>
                <w:numId w:val="0"/>
              </w:numPr>
              <w:tabs>
                <w:tab w:val="left" w:pos="711"/>
              </w:tabs>
              <w:kinsoku/>
              <w:wordWrap/>
              <w:overflowPunct/>
              <w:topLinePunct w:val="0"/>
              <w:autoSpaceDE w:val="0"/>
              <w:autoSpaceDN w:val="0"/>
              <w:bidi w:val="0"/>
              <w:adjustRightInd/>
              <w:snapToGrid/>
              <w:spacing w:before="112" w:after="0" w:line="400" w:lineRule="exact"/>
              <w:ind w:left="108" w:leftChars="0" w:right="0" w:rightChars="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9"/>
                <w:sz w:val="24"/>
                <w:lang w:eastAsia="zh-CN"/>
              </w:rPr>
              <w:t>（</w:t>
            </w:r>
            <w:r>
              <w:rPr>
                <w:rFonts w:hint="eastAsia" w:asciiTheme="minorEastAsia" w:hAnsiTheme="minorEastAsia" w:eastAsiaTheme="minorEastAsia" w:cstheme="minorEastAsia"/>
                <w:color w:val="auto"/>
                <w:spacing w:val="-9"/>
                <w:sz w:val="24"/>
                <w:lang w:val="en-US" w:eastAsia="zh-CN"/>
              </w:rPr>
              <w:t>1</w:t>
            </w:r>
            <w:r>
              <w:rPr>
                <w:rFonts w:hint="eastAsia" w:asciiTheme="minorEastAsia" w:hAnsiTheme="minorEastAsia" w:eastAsiaTheme="minorEastAsia" w:cstheme="minorEastAsia"/>
                <w:color w:val="auto"/>
                <w:spacing w:val="-9"/>
                <w:sz w:val="24"/>
                <w:lang w:eastAsia="zh-CN"/>
              </w:rPr>
              <w:t>）</w:t>
            </w:r>
            <w:r>
              <w:rPr>
                <w:rFonts w:hint="eastAsia" w:asciiTheme="minorEastAsia" w:hAnsiTheme="minorEastAsia" w:eastAsiaTheme="minorEastAsia" w:cstheme="minorEastAsia"/>
                <w:color w:val="auto"/>
                <w:spacing w:val="-9"/>
                <w:sz w:val="24"/>
              </w:rPr>
              <w:t xml:space="preserve">报价文件正本 </w:t>
            </w:r>
            <w:r>
              <w:rPr>
                <w:rFonts w:hint="eastAsia" w:asciiTheme="minorEastAsia" w:hAnsiTheme="minorEastAsia" w:eastAsiaTheme="minorEastAsia" w:cstheme="minorEastAsia"/>
                <w:color w:val="auto"/>
                <w:sz w:val="24"/>
              </w:rPr>
              <w:t>1</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pacing w:val="-12"/>
                <w:sz w:val="24"/>
              </w:rPr>
              <w:t xml:space="preserve">份、副本 </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pacing w:val="4"/>
                <w:sz w:val="24"/>
              </w:rPr>
              <w:t xml:space="preserve"> </w:t>
            </w:r>
            <w:r>
              <w:rPr>
                <w:rFonts w:hint="eastAsia" w:asciiTheme="minorEastAsia" w:hAnsiTheme="minorEastAsia" w:eastAsiaTheme="minorEastAsia" w:cstheme="minorEastAsia"/>
                <w:color w:val="auto"/>
                <w:sz w:val="24"/>
              </w:rPr>
              <w:t>份；</w:t>
            </w:r>
          </w:p>
          <w:p w14:paraId="08DA37DC">
            <w:pPr>
              <w:pStyle w:val="25"/>
              <w:keepNext w:val="0"/>
              <w:keepLines w:val="0"/>
              <w:pageBreakBefore w:val="0"/>
              <w:widowControl w:val="0"/>
              <w:numPr>
                <w:ilvl w:val="0"/>
                <w:numId w:val="0"/>
              </w:numPr>
              <w:tabs>
                <w:tab w:val="left" w:pos="711"/>
              </w:tabs>
              <w:kinsoku/>
              <w:wordWrap/>
              <w:overflowPunct/>
              <w:topLinePunct w:val="0"/>
              <w:autoSpaceDE w:val="0"/>
              <w:autoSpaceDN w:val="0"/>
              <w:bidi w:val="0"/>
              <w:adjustRightInd/>
              <w:snapToGrid/>
              <w:spacing w:before="113" w:after="0" w:line="400" w:lineRule="exact"/>
              <w:ind w:left="108" w:leftChars="0" w:right="0" w:rightChars="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lang w:eastAsia="zh-CN"/>
              </w:rPr>
              <w:t>（</w:t>
            </w:r>
            <w:r>
              <w:rPr>
                <w:rFonts w:hint="eastAsia" w:asciiTheme="minorEastAsia" w:hAnsiTheme="minorEastAsia" w:eastAsiaTheme="minorEastAsia" w:cstheme="minorEastAsia"/>
                <w:color w:val="auto"/>
                <w:spacing w:val="-5"/>
                <w:sz w:val="24"/>
                <w:lang w:val="en-US" w:eastAsia="zh-CN"/>
              </w:rPr>
              <w:t>2</w:t>
            </w:r>
            <w:r>
              <w:rPr>
                <w:rFonts w:hint="eastAsia" w:asciiTheme="minorEastAsia" w:hAnsiTheme="minorEastAsia" w:eastAsiaTheme="minorEastAsia" w:cstheme="minorEastAsia"/>
                <w:color w:val="auto"/>
                <w:spacing w:val="-5"/>
                <w:sz w:val="24"/>
                <w:lang w:eastAsia="zh-CN"/>
              </w:rPr>
              <w:t>）</w:t>
            </w:r>
            <w:r>
              <w:rPr>
                <w:rFonts w:hint="eastAsia" w:asciiTheme="minorEastAsia" w:hAnsiTheme="minorEastAsia" w:eastAsiaTheme="minorEastAsia" w:cstheme="minorEastAsia"/>
                <w:color w:val="auto"/>
                <w:spacing w:val="-5"/>
                <w:sz w:val="24"/>
              </w:rPr>
              <w:t xml:space="preserve">资格及资信证明文件正本 </w:t>
            </w:r>
            <w:r>
              <w:rPr>
                <w:rFonts w:hint="eastAsia" w:asciiTheme="minorEastAsia" w:hAnsiTheme="minorEastAsia" w:eastAsiaTheme="minorEastAsia" w:cstheme="minorEastAsia"/>
                <w:color w:val="auto"/>
                <w:sz w:val="24"/>
              </w:rPr>
              <w:t>1</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pacing w:val="-12"/>
                <w:sz w:val="24"/>
              </w:rPr>
              <w:t>份、副本</w:t>
            </w:r>
            <w:r>
              <w:rPr>
                <w:rFonts w:hint="eastAsia" w:asciiTheme="minorEastAsia" w:hAnsiTheme="minorEastAsia" w:eastAsiaTheme="minorEastAsia" w:cstheme="minorEastAsia"/>
                <w:color w:val="auto"/>
                <w:spacing w:val="-12"/>
                <w:sz w:val="24"/>
                <w:lang w:val="en-US" w:eastAsia="zh-CN"/>
              </w:rPr>
              <w:t xml:space="preserve"> 1</w:t>
            </w:r>
            <w:r>
              <w:rPr>
                <w:rFonts w:hint="eastAsia" w:asciiTheme="minorEastAsia" w:hAnsiTheme="minorEastAsia" w:eastAsiaTheme="minorEastAsia" w:cstheme="minorEastAsia"/>
                <w:color w:val="auto"/>
                <w:spacing w:val="4"/>
                <w:sz w:val="24"/>
              </w:rPr>
              <w:t xml:space="preserve"> </w:t>
            </w:r>
            <w:r>
              <w:rPr>
                <w:rFonts w:hint="eastAsia" w:asciiTheme="minorEastAsia" w:hAnsiTheme="minorEastAsia" w:eastAsiaTheme="minorEastAsia" w:cstheme="minorEastAsia"/>
                <w:color w:val="auto"/>
                <w:sz w:val="24"/>
              </w:rPr>
              <w:t>份；</w:t>
            </w:r>
          </w:p>
          <w:p w14:paraId="06EBB471">
            <w:pPr>
              <w:pStyle w:val="25"/>
              <w:keepNext w:val="0"/>
              <w:keepLines w:val="0"/>
              <w:pageBreakBefore w:val="0"/>
              <w:widowControl w:val="0"/>
              <w:numPr>
                <w:ilvl w:val="0"/>
                <w:numId w:val="0"/>
              </w:numPr>
              <w:tabs>
                <w:tab w:val="left" w:pos="711"/>
              </w:tabs>
              <w:kinsoku/>
              <w:wordWrap/>
              <w:overflowPunct/>
              <w:topLinePunct w:val="0"/>
              <w:autoSpaceDE w:val="0"/>
              <w:autoSpaceDN w:val="0"/>
              <w:bidi w:val="0"/>
              <w:adjustRightInd/>
              <w:snapToGrid/>
              <w:spacing w:before="112" w:after="0" w:line="400" w:lineRule="exact"/>
              <w:ind w:left="108" w:leftChars="0" w:right="0" w:rightChars="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7"/>
                <w:sz w:val="24"/>
                <w:lang w:eastAsia="zh-CN"/>
              </w:rPr>
              <w:t>（</w:t>
            </w:r>
            <w:r>
              <w:rPr>
                <w:rFonts w:hint="eastAsia" w:asciiTheme="minorEastAsia" w:hAnsiTheme="minorEastAsia" w:eastAsiaTheme="minorEastAsia" w:cstheme="minorEastAsia"/>
                <w:color w:val="auto"/>
                <w:spacing w:val="-7"/>
                <w:sz w:val="24"/>
                <w:lang w:val="en-US" w:eastAsia="zh-CN"/>
              </w:rPr>
              <w:t>3</w:t>
            </w:r>
            <w:r>
              <w:rPr>
                <w:rFonts w:hint="eastAsia" w:asciiTheme="minorEastAsia" w:hAnsiTheme="minorEastAsia" w:eastAsiaTheme="minorEastAsia" w:cstheme="minorEastAsia"/>
                <w:color w:val="auto"/>
                <w:spacing w:val="-7"/>
                <w:sz w:val="24"/>
                <w:lang w:eastAsia="zh-CN"/>
              </w:rPr>
              <w:t>）</w:t>
            </w:r>
            <w:r>
              <w:rPr>
                <w:rFonts w:hint="eastAsia" w:asciiTheme="minorEastAsia" w:hAnsiTheme="minorEastAsia" w:eastAsiaTheme="minorEastAsia" w:cstheme="minorEastAsia"/>
                <w:color w:val="auto"/>
                <w:spacing w:val="-7"/>
                <w:sz w:val="24"/>
              </w:rPr>
              <w:t xml:space="preserve">技术商务文件正本 </w:t>
            </w:r>
            <w:r>
              <w:rPr>
                <w:rFonts w:hint="eastAsia" w:asciiTheme="minorEastAsia" w:hAnsiTheme="minorEastAsia" w:eastAsiaTheme="minorEastAsia" w:cstheme="minorEastAsia"/>
                <w:color w:val="auto"/>
                <w:sz w:val="24"/>
              </w:rPr>
              <w:t>1</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pacing w:val="-12"/>
                <w:sz w:val="24"/>
              </w:rPr>
              <w:t xml:space="preserve">份、副本 </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pacing w:val="4"/>
                <w:sz w:val="24"/>
              </w:rPr>
              <w:t xml:space="preserve"> </w:t>
            </w:r>
            <w:r>
              <w:rPr>
                <w:rFonts w:hint="eastAsia" w:asciiTheme="minorEastAsia" w:hAnsiTheme="minorEastAsia" w:eastAsiaTheme="minorEastAsia" w:cstheme="minorEastAsia"/>
                <w:color w:val="auto"/>
                <w:sz w:val="24"/>
              </w:rPr>
              <w:t>份；</w:t>
            </w:r>
          </w:p>
          <w:p w14:paraId="188AC076">
            <w:pPr>
              <w:pStyle w:val="25"/>
              <w:keepNext w:val="0"/>
              <w:keepLines w:val="0"/>
              <w:pageBreakBefore w:val="0"/>
              <w:widowControl w:val="0"/>
              <w:numPr>
                <w:ilvl w:val="0"/>
                <w:numId w:val="0"/>
              </w:numPr>
              <w:tabs>
                <w:tab w:val="left" w:pos="711"/>
              </w:tabs>
              <w:kinsoku/>
              <w:wordWrap/>
              <w:overflowPunct/>
              <w:topLinePunct w:val="0"/>
              <w:autoSpaceDE w:val="0"/>
              <w:autoSpaceDN w:val="0"/>
              <w:bidi w:val="0"/>
              <w:adjustRightInd/>
              <w:snapToGrid/>
              <w:spacing w:before="113" w:after="0" w:line="400" w:lineRule="exact"/>
              <w:ind w:left="108" w:leftChars="0" w:right="0" w:rightChars="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4</w:t>
            </w:r>
            <w:r>
              <w:rPr>
                <w:rFonts w:hint="eastAsia" w:asciiTheme="minorEastAsia" w:hAnsiTheme="minorEastAsia" w:eastAsiaTheme="minorEastAsia" w:cstheme="minorEastAsia"/>
                <w:color w:val="auto"/>
                <w:sz w:val="24"/>
                <w:lang w:eastAsia="zh-CN"/>
              </w:rPr>
              <w:t>）可读介质（光盘或 U 盘）1 份：电子文件，投标人必须将加盖红色公章的投标文件正本全部内容扫描成电子文件（移动</w:t>
            </w:r>
            <w:r>
              <w:rPr>
                <w:rFonts w:hint="eastAsia" w:asciiTheme="minorEastAsia" w:hAnsiTheme="minorEastAsia" w:eastAsiaTheme="minorEastAsia" w:cstheme="minorEastAsia"/>
                <w:color w:val="auto"/>
                <w:sz w:val="24"/>
                <w:lang w:val="en-US" w:eastAsia="zh-CN"/>
              </w:rPr>
              <w:t>U</w:t>
            </w:r>
            <w:r>
              <w:rPr>
                <w:rFonts w:hint="eastAsia" w:asciiTheme="minorEastAsia" w:hAnsiTheme="minorEastAsia" w:eastAsiaTheme="minorEastAsia" w:cstheme="minorEastAsia"/>
                <w:color w:val="auto"/>
                <w:sz w:val="24"/>
                <w:lang w:eastAsia="zh-CN"/>
              </w:rPr>
              <w:t>盘，无病毒），与投标文件正本一起提交，其中所有文件不做压缩处理、不设密码）；</w:t>
            </w:r>
          </w:p>
        </w:tc>
      </w:tr>
      <w:tr w14:paraId="17C29A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0" w:hRule="atLeast"/>
        </w:trPr>
        <w:tc>
          <w:tcPr>
            <w:tcW w:w="492" w:type="dxa"/>
          </w:tcPr>
          <w:p w14:paraId="2DD31206">
            <w:pPr>
              <w:pStyle w:val="25"/>
              <w:keepNext w:val="0"/>
              <w:keepLines w:val="0"/>
              <w:pageBreakBefore w:val="0"/>
              <w:widowControl w:val="0"/>
              <w:kinsoku/>
              <w:wordWrap/>
              <w:overflowPunct/>
              <w:topLinePunct w:val="0"/>
              <w:autoSpaceDE w:val="0"/>
              <w:autoSpaceDN w:val="0"/>
              <w:bidi w:val="0"/>
              <w:adjustRightInd/>
              <w:snapToGrid/>
              <w:spacing w:line="400" w:lineRule="exact"/>
              <w:ind w:left="184"/>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w:t>
            </w:r>
          </w:p>
        </w:tc>
        <w:tc>
          <w:tcPr>
            <w:tcW w:w="1114" w:type="dxa"/>
          </w:tcPr>
          <w:p w14:paraId="50656D85">
            <w:pPr>
              <w:pStyle w:val="25"/>
              <w:keepNext w:val="0"/>
              <w:keepLines w:val="0"/>
              <w:pageBreakBefore w:val="0"/>
              <w:widowControl w:val="0"/>
              <w:kinsoku/>
              <w:wordWrap/>
              <w:overflowPunct/>
              <w:topLinePunct w:val="0"/>
              <w:autoSpaceDE w:val="0"/>
              <w:autoSpaceDN w:val="0"/>
              <w:bidi w:val="0"/>
              <w:adjustRightInd/>
              <w:snapToGrid/>
              <w:spacing w:line="400" w:lineRule="exact"/>
              <w:ind w:left="96" w:right="95"/>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10.7-（1）</w:t>
            </w:r>
          </w:p>
        </w:tc>
        <w:tc>
          <w:tcPr>
            <w:tcW w:w="7636" w:type="dxa"/>
          </w:tcPr>
          <w:p w14:paraId="2486E5DA">
            <w:pPr>
              <w:pStyle w:val="25"/>
              <w:keepNext w:val="0"/>
              <w:keepLines w:val="0"/>
              <w:pageBreakBefore w:val="0"/>
              <w:widowControl w:val="0"/>
              <w:kinsoku/>
              <w:wordWrap/>
              <w:overflowPunct/>
              <w:topLinePunct w:val="0"/>
              <w:autoSpaceDE w:val="0"/>
              <w:autoSpaceDN w:val="0"/>
              <w:bidi w:val="0"/>
              <w:adjustRightInd/>
              <w:snapToGrid/>
              <w:spacing w:line="400" w:lineRule="exact"/>
              <w:ind w:left="106" w:right="818"/>
              <w:textAlignment w:val="auto"/>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color w:val="auto"/>
                <w:sz w:val="24"/>
              </w:rPr>
              <w:t xml:space="preserve">是否允许中标人将本项目的非主体、非关键性工作进行分包： </w:t>
            </w:r>
            <w:r>
              <w:rPr>
                <w:rFonts w:hint="eastAsia" w:asciiTheme="minorEastAsia" w:hAnsiTheme="minorEastAsia" w:eastAsiaTheme="minorEastAsia" w:cstheme="minorEastAsia"/>
                <w:color w:val="auto"/>
                <w:sz w:val="24"/>
                <w:lang w:eastAsia="zh-CN"/>
              </w:rPr>
              <w:t>采购包</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b/>
                <w:color w:val="auto"/>
                <w:sz w:val="24"/>
              </w:rPr>
              <w:t>不允许合同分包；</w:t>
            </w:r>
            <w:r>
              <w:rPr>
                <w:rFonts w:hint="eastAsia" w:asciiTheme="minorEastAsia" w:hAnsiTheme="minorEastAsia" w:eastAsiaTheme="minorEastAsia" w:cstheme="minorEastAsia"/>
                <w:color w:val="auto"/>
                <w:sz w:val="24"/>
                <w:lang w:eastAsia="zh-CN"/>
              </w:rPr>
              <w:t>采购包</w:t>
            </w:r>
            <w:r>
              <w:rPr>
                <w:rFonts w:hint="eastAsia" w:asciiTheme="minorEastAsia" w:hAnsiTheme="minorEastAsia" w:eastAsiaTheme="minorEastAsia" w:cstheme="minorEastAsia"/>
                <w:color w:val="auto"/>
                <w:sz w:val="24"/>
                <w:lang w:val="en-US" w:eastAsia="zh-CN"/>
              </w:rPr>
              <w:t>2：</w:t>
            </w:r>
            <w:r>
              <w:rPr>
                <w:rFonts w:hint="eastAsia" w:asciiTheme="minorEastAsia" w:hAnsiTheme="minorEastAsia" w:eastAsiaTheme="minorEastAsia" w:cstheme="minorEastAsia"/>
                <w:b/>
                <w:color w:val="auto"/>
                <w:sz w:val="24"/>
              </w:rPr>
              <w:t>不允许合同分包；</w:t>
            </w:r>
          </w:p>
        </w:tc>
      </w:tr>
      <w:tr w14:paraId="72F8E2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492" w:type="dxa"/>
          </w:tcPr>
          <w:p w14:paraId="67A9A452">
            <w:pPr>
              <w:pStyle w:val="25"/>
              <w:keepNext w:val="0"/>
              <w:keepLines w:val="0"/>
              <w:pageBreakBefore w:val="0"/>
              <w:widowControl w:val="0"/>
              <w:kinsoku/>
              <w:wordWrap/>
              <w:overflowPunct/>
              <w:topLinePunct w:val="0"/>
              <w:autoSpaceDE w:val="0"/>
              <w:autoSpaceDN w:val="0"/>
              <w:bidi w:val="0"/>
              <w:adjustRightInd/>
              <w:snapToGrid/>
              <w:spacing w:before="107" w:line="400" w:lineRule="exact"/>
              <w:ind w:left="184"/>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w:t>
            </w:r>
          </w:p>
        </w:tc>
        <w:tc>
          <w:tcPr>
            <w:tcW w:w="1114" w:type="dxa"/>
          </w:tcPr>
          <w:p w14:paraId="6586B8EF">
            <w:pPr>
              <w:pStyle w:val="25"/>
              <w:keepNext w:val="0"/>
              <w:keepLines w:val="0"/>
              <w:pageBreakBefore w:val="0"/>
              <w:widowControl w:val="0"/>
              <w:kinsoku/>
              <w:wordWrap/>
              <w:overflowPunct/>
              <w:topLinePunct w:val="0"/>
              <w:autoSpaceDE w:val="0"/>
              <w:autoSpaceDN w:val="0"/>
              <w:bidi w:val="0"/>
              <w:adjustRightInd/>
              <w:snapToGrid/>
              <w:spacing w:before="96" w:line="400" w:lineRule="exact"/>
              <w:ind w:left="96" w:right="95"/>
              <w:jc w:val="center"/>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10.8-（1）</w:t>
            </w:r>
          </w:p>
        </w:tc>
        <w:tc>
          <w:tcPr>
            <w:tcW w:w="7636" w:type="dxa"/>
          </w:tcPr>
          <w:p w14:paraId="5BE1D8A6">
            <w:pPr>
              <w:pStyle w:val="25"/>
              <w:keepNext w:val="0"/>
              <w:keepLines w:val="0"/>
              <w:pageBreakBefore w:val="0"/>
              <w:widowControl w:val="0"/>
              <w:kinsoku/>
              <w:wordWrap/>
              <w:overflowPunct/>
              <w:topLinePunct w:val="0"/>
              <w:autoSpaceDE w:val="0"/>
              <w:autoSpaceDN w:val="0"/>
              <w:bidi w:val="0"/>
              <w:adjustRightInd/>
              <w:snapToGrid/>
              <w:spacing w:before="96" w:line="400" w:lineRule="exact"/>
              <w:ind w:left="106"/>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投标有效期：投标截止时间起 90 个日历日。</w:t>
            </w:r>
          </w:p>
        </w:tc>
      </w:tr>
      <w:tr w14:paraId="154AF7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492" w:type="dxa"/>
            <w:vAlign w:val="center"/>
          </w:tcPr>
          <w:p w14:paraId="35FFC010">
            <w:pPr>
              <w:pStyle w:val="25"/>
              <w:keepNext w:val="0"/>
              <w:keepLines w:val="0"/>
              <w:pageBreakBefore w:val="0"/>
              <w:widowControl w:val="0"/>
              <w:kinsoku/>
              <w:wordWrap/>
              <w:overflowPunct/>
              <w:topLinePunct w:val="0"/>
              <w:autoSpaceDE w:val="0"/>
              <w:autoSpaceDN w:val="0"/>
              <w:bidi w:val="0"/>
              <w:adjustRightInd/>
              <w:snapToGrid/>
              <w:spacing w:line="400" w:lineRule="exact"/>
              <w:ind w:left="184" w:leftChars="0" w:right="0" w:rightChars="0"/>
              <w:jc w:val="center"/>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5</w:t>
            </w:r>
          </w:p>
        </w:tc>
        <w:tc>
          <w:tcPr>
            <w:tcW w:w="1114" w:type="dxa"/>
            <w:vAlign w:val="center"/>
          </w:tcPr>
          <w:p w14:paraId="0E86BD83">
            <w:pPr>
              <w:pStyle w:val="25"/>
              <w:keepNext w:val="0"/>
              <w:keepLines w:val="0"/>
              <w:pageBreakBefore w:val="0"/>
              <w:widowControl w:val="0"/>
              <w:kinsoku/>
              <w:wordWrap/>
              <w:overflowPunct/>
              <w:topLinePunct w:val="0"/>
              <w:autoSpaceDE w:val="0"/>
              <w:autoSpaceDN w:val="0"/>
              <w:bidi w:val="0"/>
              <w:adjustRightInd/>
              <w:snapToGrid/>
              <w:spacing w:line="400" w:lineRule="exact"/>
              <w:ind w:left="96" w:leftChars="0" w:right="91" w:rightChars="0"/>
              <w:jc w:val="center"/>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12.1</w:t>
            </w:r>
          </w:p>
        </w:tc>
        <w:tc>
          <w:tcPr>
            <w:tcW w:w="7636" w:type="dxa"/>
            <w:vAlign w:val="top"/>
          </w:tcPr>
          <w:p w14:paraId="39ADE3BE">
            <w:pPr>
              <w:pStyle w:val="25"/>
              <w:keepNext w:val="0"/>
              <w:keepLines w:val="0"/>
              <w:pageBreakBefore w:val="0"/>
              <w:widowControl w:val="0"/>
              <w:kinsoku/>
              <w:wordWrap/>
              <w:overflowPunct/>
              <w:topLinePunct w:val="0"/>
              <w:autoSpaceDE w:val="0"/>
              <w:autoSpaceDN w:val="0"/>
              <w:bidi w:val="0"/>
              <w:adjustRightInd/>
              <w:snapToGrid/>
              <w:spacing w:before="110"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en-US" w:bidi="ar-SA"/>
              </w:rPr>
              <w:t>确定中标候选人名单：</w:t>
            </w:r>
          </w:p>
          <w:p w14:paraId="6BC93FB9">
            <w:pPr>
              <w:pStyle w:val="25"/>
              <w:keepNext w:val="0"/>
              <w:keepLines w:val="0"/>
              <w:pageBreakBefore w:val="0"/>
              <w:widowControl w:val="0"/>
              <w:kinsoku/>
              <w:wordWrap/>
              <w:overflowPunct/>
              <w:topLinePunct w:val="0"/>
              <w:autoSpaceDE w:val="0"/>
              <w:autoSpaceDN w:val="0"/>
              <w:bidi w:val="0"/>
              <w:adjustRightInd/>
              <w:snapToGrid/>
              <w:spacing w:before="110"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zh-CN" w:bidi="ar-SA"/>
              </w:rPr>
            </w:pPr>
            <w:r>
              <w:rPr>
                <w:rFonts w:hint="eastAsia" w:asciiTheme="minorEastAsia" w:hAnsiTheme="minorEastAsia" w:eastAsiaTheme="minorEastAsia" w:cstheme="minorEastAsia"/>
                <w:color w:val="auto"/>
                <w:sz w:val="24"/>
                <w:szCs w:val="22"/>
                <w:lang w:val="en-US" w:eastAsia="en-US" w:bidi="ar-SA"/>
              </w:rPr>
              <w:t>采购包1：1名</w:t>
            </w:r>
            <w:r>
              <w:rPr>
                <w:rFonts w:hint="eastAsia" w:asciiTheme="minorEastAsia" w:hAnsiTheme="minorEastAsia" w:eastAsiaTheme="minorEastAsia" w:cstheme="minorEastAsia"/>
                <w:color w:val="auto"/>
                <w:sz w:val="24"/>
                <w:szCs w:val="22"/>
                <w:lang w:val="en-US" w:eastAsia="zh-CN" w:bidi="ar-SA"/>
              </w:rPr>
              <w:t>；</w:t>
            </w:r>
            <w:r>
              <w:rPr>
                <w:rFonts w:hint="eastAsia" w:asciiTheme="minorEastAsia" w:hAnsiTheme="minorEastAsia" w:eastAsiaTheme="minorEastAsia" w:cstheme="minorEastAsia"/>
                <w:color w:val="auto"/>
                <w:sz w:val="24"/>
                <w:szCs w:val="22"/>
                <w:lang w:val="en-US" w:eastAsia="en-US" w:bidi="ar-SA"/>
              </w:rPr>
              <w:t>采购包</w:t>
            </w:r>
            <w:r>
              <w:rPr>
                <w:rFonts w:hint="eastAsia" w:asciiTheme="minorEastAsia" w:hAnsiTheme="minorEastAsia" w:eastAsiaTheme="minorEastAsia" w:cstheme="minorEastAsia"/>
                <w:color w:val="auto"/>
                <w:sz w:val="24"/>
                <w:szCs w:val="22"/>
                <w:lang w:val="en-US" w:eastAsia="zh-CN" w:bidi="ar-SA"/>
              </w:rPr>
              <w:t>2</w:t>
            </w:r>
            <w:r>
              <w:rPr>
                <w:rFonts w:hint="eastAsia" w:asciiTheme="minorEastAsia" w:hAnsiTheme="minorEastAsia" w:eastAsiaTheme="minorEastAsia" w:cstheme="minorEastAsia"/>
                <w:color w:val="auto"/>
                <w:sz w:val="24"/>
                <w:szCs w:val="22"/>
                <w:lang w:val="en-US" w:eastAsia="en-US" w:bidi="ar-SA"/>
              </w:rPr>
              <w:t>：1名</w:t>
            </w:r>
          </w:p>
        </w:tc>
      </w:tr>
      <w:tr w14:paraId="74E33E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492" w:type="dxa"/>
            <w:vAlign w:val="top"/>
          </w:tcPr>
          <w:p w14:paraId="76A71B17">
            <w:pPr>
              <w:pStyle w:val="25"/>
              <w:keepNext w:val="0"/>
              <w:keepLines w:val="0"/>
              <w:pageBreakBefore w:val="0"/>
              <w:widowControl w:val="0"/>
              <w:kinsoku/>
              <w:wordWrap/>
              <w:overflowPunct/>
              <w:topLinePunct w:val="0"/>
              <w:autoSpaceDE w:val="0"/>
              <w:autoSpaceDN w:val="0"/>
              <w:bidi w:val="0"/>
              <w:adjustRightInd/>
              <w:snapToGrid/>
              <w:spacing w:line="400" w:lineRule="exact"/>
              <w:ind w:left="184" w:leftChars="0" w:right="0" w:rightChars="0"/>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6</w:t>
            </w:r>
          </w:p>
        </w:tc>
        <w:tc>
          <w:tcPr>
            <w:tcW w:w="1114" w:type="dxa"/>
            <w:vAlign w:val="top"/>
          </w:tcPr>
          <w:p w14:paraId="681ED39B">
            <w:pPr>
              <w:pStyle w:val="25"/>
              <w:keepNext w:val="0"/>
              <w:keepLines w:val="0"/>
              <w:pageBreakBefore w:val="0"/>
              <w:widowControl w:val="0"/>
              <w:kinsoku/>
              <w:wordWrap/>
              <w:overflowPunct/>
              <w:topLinePunct w:val="0"/>
              <w:autoSpaceDE w:val="0"/>
              <w:autoSpaceDN w:val="0"/>
              <w:bidi w:val="0"/>
              <w:adjustRightInd/>
              <w:snapToGrid/>
              <w:spacing w:line="400" w:lineRule="exact"/>
              <w:ind w:left="96" w:leftChars="0" w:right="91" w:rightChars="0"/>
              <w:jc w:val="center"/>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12.2</w:t>
            </w:r>
          </w:p>
        </w:tc>
        <w:tc>
          <w:tcPr>
            <w:tcW w:w="7636" w:type="dxa"/>
            <w:vAlign w:val="top"/>
          </w:tcPr>
          <w:p w14:paraId="0F9A187F">
            <w:pPr>
              <w:pStyle w:val="25"/>
              <w:keepNext w:val="0"/>
              <w:keepLines w:val="0"/>
              <w:pageBreakBefore w:val="0"/>
              <w:widowControl w:val="0"/>
              <w:kinsoku/>
              <w:wordWrap/>
              <w:overflowPunct/>
              <w:topLinePunct w:val="0"/>
              <w:autoSpaceDE w:val="0"/>
              <w:autoSpaceDN w:val="0"/>
              <w:bidi w:val="0"/>
              <w:adjustRightInd/>
              <w:snapToGrid/>
              <w:spacing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en-US" w:bidi="ar-SA"/>
              </w:rPr>
              <w:t>本项目中标人的确定（以采购包为单位）：</w:t>
            </w:r>
          </w:p>
          <w:p w14:paraId="145C52CE">
            <w:pPr>
              <w:pStyle w:val="25"/>
              <w:keepNext w:val="0"/>
              <w:keepLines w:val="0"/>
              <w:pageBreakBefore w:val="0"/>
              <w:widowControl w:val="0"/>
              <w:kinsoku/>
              <w:wordWrap/>
              <w:overflowPunct/>
              <w:topLinePunct w:val="0"/>
              <w:autoSpaceDE w:val="0"/>
              <w:autoSpaceDN w:val="0"/>
              <w:bidi w:val="0"/>
              <w:adjustRightInd/>
              <w:snapToGrid/>
              <w:spacing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en-US" w:bidi="ar-SA"/>
              </w:rPr>
              <w:t xml:space="preserve"> （1） 采购人应在政府采购招投标管理办法规定的时限内确定中标人。</w:t>
            </w:r>
          </w:p>
          <w:p w14:paraId="15C3987D">
            <w:pPr>
              <w:pStyle w:val="25"/>
              <w:keepNext w:val="0"/>
              <w:keepLines w:val="0"/>
              <w:pageBreakBefore w:val="0"/>
              <w:widowControl w:val="0"/>
              <w:kinsoku/>
              <w:wordWrap/>
              <w:overflowPunct/>
              <w:topLinePunct w:val="0"/>
              <w:autoSpaceDE w:val="0"/>
              <w:autoSpaceDN w:val="0"/>
              <w:bidi w:val="0"/>
              <w:adjustRightInd/>
              <w:snapToGrid/>
              <w:spacing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en-US" w:bidi="ar-SA"/>
              </w:rPr>
              <w:t xml:space="preserve"> （2）若出现中标候选人并列情形，则按照下列方式确定中标人：</w:t>
            </w:r>
          </w:p>
          <w:p w14:paraId="384E5502">
            <w:pPr>
              <w:pStyle w:val="25"/>
              <w:keepNext w:val="0"/>
              <w:keepLines w:val="0"/>
              <w:pageBreakBefore w:val="0"/>
              <w:widowControl w:val="0"/>
              <w:kinsoku/>
              <w:wordWrap/>
              <w:overflowPunct/>
              <w:topLinePunct w:val="0"/>
              <w:autoSpaceDE w:val="0"/>
              <w:autoSpaceDN w:val="0"/>
              <w:bidi w:val="0"/>
              <w:adjustRightInd/>
              <w:snapToGrid/>
              <w:spacing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en-US" w:bidi="ar-SA"/>
              </w:rPr>
              <w:t xml:space="preserve"> ①招标文件规定的方式：</w:t>
            </w:r>
          </w:p>
          <w:p w14:paraId="2E16D1C0">
            <w:pPr>
              <w:pStyle w:val="25"/>
              <w:keepNext w:val="0"/>
              <w:keepLines w:val="0"/>
              <w:pageBreakBefore w:val="0"/>
              <w:widowControl w:val="0"/>
              <w:kinsoku/>
              <w:wordWrap/>
              <w:overflowPunct/>
              <w:topLinePunct w:val="0"/>
              <w:autoSpaceDE w:val="0"/>
              <w:autoSpaceDN w:val="0"/>
              <w:bidi w:val="0"/>
              <w:adjustRightInd/>
              <w:snapToGrid/>
              <w:spacing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en-US" w:bidi="ar-SA"/>
              </w:rPr>
              <w:t>若同一合同包中经优惠政策折扣后报价相同的，由评审委员会按资格标准高低、商务服务优劣、技术指标响应情况顺序择优确定。</w:t>
            </w:r>
          </w:p>
          <w:p w14:paraId="6879CF1D">
            <w:pPr>
              <w:pStyle w:val="25"/>
              <w:keepNext w:val="0"/>
              <w:keepLines w:val="0"/>
              <w:pageBreakBefore w:val="0"/>
              <w:widowControl w:val="0"/>
              <w:kinsoku/>
              <w:wordWrap/>
              <w:overflowPunct/>
              <w:topLinePunct w:val="0"/>
              <w:autoSpaceDE w:val="0"/>
              <w:autoSpaceDN w:val="0"/>
              <w:bidi w:val="0"/>
              <w:adjustRightInd/>
              <w:snapToGrid/>
              <w:spacing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en-US" w:bidi="ar-SA"/>
              </w:rPr>
              <w:t xml:space="preserve"> ②若本款第①点规定方式为“无”，则按照下列方式确定：</w:t>
            </w:r>
          </w:p>
          <w:p w14:paraId="0E84B571">
            <w:pPr>
              <w:pStyle w:val="25"/>
              <w:keepNext w:val="0"/>
              <w:keepLines w:val="0"/>
              <w:pageBreakBefore w:val="0"/>
              <w:widowControl w:val="0"/>
              <w:kinsoku/>
              <w:wordWrap/>
              <w:overflowPunct/>
              <w:topLinePunct w:val="0"/>
              <w:autoSpaceDE w:val="0"/>
              <w:autoSpaceDN w:val="0"/>
              <w:bidi w:val="0"/>
              <w:adjustRightInd/>
              <w:snapToGrid/>
              <w:spacing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en-US" w:bidi="ar-SA"/>
              </w:rPr>
              <w:t>无</w:t>
            </w:r>
          </w:p>
          <w:p w14:paraId="7B91CDE3">
            <w:pPr>
              <w:pStyle w:val="25"/>
              <w:keepNext w:val="0"/>
              <w:keepLines w:val="0"/>
              <w:pageBreakBefore w:val="0"/>
              <w:widowControl w:val="0"/>
              <w:kinsoku/>
              <w:wordWrap/>
              <w:overflowPunct/>
              <w:topLinePunct w:val="0"/>
              <w:autoSpaceDE w:val="0"/>
              <w:autoSpaceDN w:val="0"/>
              <w:bidi w:val="0"/>
              <w:adjustRightInd/>
              <w:snapToGrid/>
              <w:spacing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en-US" w:bidi="ar-SA"/>
              </w:rPr>
              <w:t xml:space="preserve"> ③若本款第①、②点规定方式均为“无”，则按照下列方式确定：随机抽取。</w:t>
            </w:r>
          </w:p>
          <w:p w14:paraId="215DB5E8">
            <w:pPr>
              <w:pStyle w:val="25"/>
              <w:keepNext w:val="0"/>
              <w:keepLines w:val="0"/>
              <w:pageBreakBefore w:val="0"/>
              <w:widowControl w:val="0"/>
              <w:kinsoku/>
              <w:wordWrap/>
              <w:overflowPunct/>
              <w:topLinePunct w:val="0"/>
              <w:autoSpaceDE w:val="0"/>
              <w:autoSpaceDN w:val="0"/>
              <w:bidi w:val="0"/>
              <w:adjustRightInd/>
              <w:snapToGrid/>
              <w:spacing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szCs w:val="22"/>
                <w:lang w:val="en-US" w:eastAsia="en-US" w:bidi="ar-SA"/>
              </w:rPr>
              <w:t xml:space="preserve"> （3）本项目确定的中标人家数：</w:t>
            </w:r>
          </w:p>
          <w:p w14:paraId="22252A59">
            <w:pPr>
              <w:pStyle w:val="25"/>
              <w:keepNext w:val="0"/>
              <w:keepLines w:val="0"/>
              <w:pageBreakBefore w:val="0"/>
              <w:widowControl w:val="0"/>
              <w:kinsoku/>
              <w:wordWrap/>
              <w:overflowPunct/>
              <w:topLinePunct w:val="0"/>
              <w:autoSpaceDE w:val="0"/>
              <w:autoSpaceDN w:val="0"/>
              <w:bidi w:val="0"/>
              <w:adjustRightInd/>
              <w:snapToGrid/>
              <w:spacing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zh-CN" w:bidi="ar-SA"/>
              </w:rPr>
            </w:pPr>
            <w:r>
              <w:rPr>
                <w:rFonts w:hint="eastAsia" w:asciiTheme="minorEastAsia" w:hAnsiTheme="minorEastAsia" w:eastAsiaTheme="minorEastAsia" w:cstheme="minorEastAsia"/>
                <w:color w:val="auto"/>
                <w:sz w:val="24"/>
                <w:szCs w:val="22"/>
                <w:lang w:val="en-US" w:eastAsia="en-US" w:bidi="ar-SA"/>
              </w:rPr>
              <w:t>采购包1：1名</w:t>
            </w:r>
            <w:r>
              <w:rPr>
                <w:rFonts w:hint="eastAsia" w:asciiTheme="minorEastAsia" w:hAnsiTheme="minorEastAsia" w:eastAsiaTheme="minorEastAsia" w:cstheme="minorEastAsia"/>
                <w:color w:val="auto"/>
                <w:sz w:val="24"/>
                <w:szCs w:val="22"/>
                <w:lang w:val="en-US" w:eastAsia="zh-CN" w:bidi="ar-SA"/>
              </w:rPr>
              <w:t>；</w:t>
            </w:r>
            <w:r>
              <w:rPr>
                <w:rFonts w:hint="eastAsia" w:asciiTheme="minorEastAsia" w:hAnsiTheme="minorEastAsia" w:eastAsiaTheme="minorEastAsia" w:cstheme="minorEastAsia"/>
                <w:color w:val="auto"/>
                <w:sz w:val="24"/>
                <w:szCs w:val="22"/>
                <w:lang w:val="en-US" w:eastAsia="en-US" w:bidi="ar-SA"/>
              </w:rPr>
              <w:t>采购包</w:t>
            </w:r>
            <w:r>
              <w:rPr>
                <w:rFonts w:hint="eastAsia" w:asciiTheme="minorEastAsia" w:hAnsiTheme="minorEastAsia" w:eastAsiaTheme="minorEastAsia" w:cstheme="minorEastAsia"/>
                <w:color w:val="auto"/>
                <w:sz w:val="24"/>
                <w:szCs w:val="22"/>
                <w:lang w:val="en-US" w:eastAsia="zh-CN" w:bidi="ar-SA"/>
              </w:rPr>
              <w:t>2</w:t>
            </w:r>
            <w:r>
              <w:rPr>
                <w:rFonts w:hint="eastAsia" w:asciiTheme="minorEastAsia" w:hAnsiTheme="minorEastAsia" w:eastAsiaTheme="minorEastAsia" w:cstheme="minorEastAsia"/>
                <w:color w:val="auto"/>
                <w:sz w:val="24"/>
                <w:szCs w:val="22"/>
                <w:lang w:val="en-US" w:eastAsia="en-US" w:bidi="ar-SA"/>
              </w:rPr>
              <w:t>：1名</w:t>
            </w:r>
          </w:p>
        </w:tc>
      </w:tr>
      <w:tr w14:paraId="47599F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492" w:type="dxa"/>
            <w:vAlign w:val="top"/>
          </w:tcPr>
          <w:p w14:paraId="51F0A67E">
            <w:pPr>
              <w:pStyle w:val="25"/>
              <w:keepNext w:val="0"/>
              <w:keepLines w:val="0"/>
              <w:pageBreakBefore w:val="0"/>
              <w:widowControl w:val="0"/>
              <w:kinsoku/>
              <w:wordWrap/>
              <w:overflowPunct/>
              <w:topLinePunct w:val="0"/>
              <w:autoSpaceDE w:val="0"/>
              <w:autoSpaceDN w:val="0"/>
              <w:bidi w:val="0"/>
              <w:adjustRightInd/>
              <w:snapToGrid/>
              <w:spacing w:before="108" w:line="400" w:lineRule="exact"/>
              <w:ind w:left="184" w:leftChars="0" w:right="0" w:rightChars="0"/>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7</w:t>
            </w:r>
          </w:p>
        </w:tc>
        <w:tc>
          <w:tcPr>
            <w:tcW w:w="1114" w:type="dxa"/>
            <w:vAlign w:val="top"/>
          </w:tcPr>
          <w:p w14:paraId="3C855477">
            <w:pPr>
              <w:pStyle w:val="25"/>
              <w:keepNext w:val="0"/>
              <w:keepLines w:val="0"/>
              <w:pageBreakBefore w:val="0"/>
              <w:widowControl w:val="0"/>
              <w:kinsoku/>
              <w:wordWrap/>
              <w:overflowPunct/>
              <w:topLinePunct w:val="0"/>
              <w:autoSpaceDE w:val="0"/>
              <w:autoSpaceDN w:val="0"/>
              <w:bidi w:val="0"/>
              <w:adjustRightInd/>
              <w:snapToGrid/>
              <w:spacing w:before="108" w:line="400" w:lineRule="exact"/>
              <w:ind w:left="96" w:leftChars="0" w:right="91" w:rightChars="0"/>
              <w:jc w:val="center"/>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13.2</w:t>
            </w:r>
          </w:p>
        </w:tc>
        <w:tc>
          <w:tcPr>
            <w:tcW w:w="7636" w:type="dxa"/>
            <w:vAlign w:val="top"/>
          </w:tcPr>
          <w:p w14:paraId="5A2E7963">
            <w:pPr>
              <w:pStyle w:val="25"/>
              <w:keepNext w:val="0"/>
              <w:keepLines w:val="0"/>
              <w:pageBreakBefore w:val="0"/>
              <w:widowControl w:val="0"/>
              <w:kinsoku/>
              <w:wordWrap/>
              <w:overflowPunct/>
              <w:topLinePunct w:val="0"/>
              <w:autoSpaceDE w:val="0"/>
              <w:autoSpaceDN w:val="0"/>
              <w:bidi w:val="0"/>
              <w:adjustRightInd/>
              <w:snapToGrid/>
              <w:spacing w:before="96" w:line="400" w:lineRule="exact"/>
              <w:ind w:left="106" w:leftChars="0" w:right="0" w:rightChars="0"/>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合同签订时限：自中标通知书发出之日起 30 个日历日内。</w:t>
            </w:r>
          </w:p>
        </w:tc>
      </w:tr>
      <w:tr w14:paraId="5FB814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492" w:type="dxa"/>
            <w:vAlign w:val="top"/>
          </w:tcPr>
          <w:p w14:paraId="0EEE8440">
            <w:pPr>
              <w:pStyle w:val="25"/>
              <w:keepNext w:val="0"/>
              <w:keepLines w:val="0"/>
              <w:pageBreakBefore w:val="0"/>
              <w:widowControl w:val="0"/>
              <w:kinsoku/>
              <w:wordWrap/>
              <w:overflowPunct/>
              <w:topLinePunct w:val="0"/>
              <w:autoSpaceDE w:val="0"/>
              <w:autoSpaceDN w:val="0"/>
              <w:bidi w:val="0"/>
              <w:adjustRightInd/>
              <w:snapToGrid/>
              <w:spacing w:before="107" w:line="400" w:lineRule="exact"/>
              <w:ind w:left="184" w:leftChars="0" w:right="0" w:rightChars="0"/>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8</w:t>
            </w:r>
          </w:p>
        </w:tc>
        <w:tc>
          <w:tcPr>
            <w:tcW w:w="1114" w:type="dxa"/>
            <w:vAlign w:val="top"/>
          </w:tcPr>
          <w:p w14:paraId="4CE56C62">
            <w:pPr>
              <w:pStyle w:val="25"/>
              <w:keepNext w:val="0"/>
              <w:keepLines w:val="0"/>
              <w:pageBreakBefore w:val="0"/>
              <w:widowControl w:val="0"/>
              <w:kinsoku/>
              <w:wordWrap/>
              <w:overflowPunct/>
              <w:topLinePunct w:val="0"/>
              <w:autoSpaceDE w:val="0"/>
              <w:autoSpaceDN w:val="0"/>
              <w:bidi w:val="0"/>
              <w:adjustRightInd/>
              <w:snapToGrid/>
              <w:spacing w:before="96" w:line="400" w:lineRule="exact"/>
              <w:ind w:left="96" w:leftChars="0" w:right="95" w:rightChars="0"/>
              <w:jc w:val="center"/>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15.1-（2）</w:t>
            </w:r>
          </w:p>
        </w:tc>
        <w:tc>
          <w:tcPr>
            <w:tcW w:w="7636" w:type="dxa"/>
            <w:vAlign w:val="top"/>
          </w:tcPr>
          <w:p w14:paraId="4FD09C3D">
            <w:pPr>
              <w:pStyle w:val="25"/>
              <w:keepNext w:val="0"/>
              <w:keepLines w:val="0"/>
              <w:pageBreakBefore w:val="0"/>
              <w:widowControl w:val="0"/>
              <w:kinsoku/>
              <w:wordWrap/>
              <w:overflowPunct/>
              <w:topLinePunct w:val="0"/>
              <w:autoSpaceDE w:val="0"/>
              <w:autoSpaceDN w:val="0"/>
              <w:bidi w:val="0"/>
              <w:adjustRightInd/>
              <w:snapToGrid/>
              <w:spacing w:before="96" w:line="400" w:lineRule="exact"/>
              <w:ind w:left="106" w:leftChars="0" w:right="0" w:rightChars="0"/>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质疑函原件应采用下列方式提交：书面形式。</w:t>
            </w:r>
          </w:p>
        </w:tc>
      </w:tr>
      <w:tr w14:paraId="75F1F7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492" w:type="dxa"/>
            <w:vAlign w:val="top"/>
          </w:tcPr>
          <w:p w14:paraId="018FDEED">
            <w:pPr>
              <w:pStyle w:val="25"/>
              <w:keepNext w:val="0"/>
              <w:keepLines w:val="0"/>
              <w:pageBreakBefore w:val="0"/>
              <w:widowControl w:val="0"/>
              <w:kinsoku/>
              <w:wordWrap/>
              <w:overflowPunct/>
              <w:topLinePunct w:val="0"/>
              <w:autoSpaceDE w:val="0"/>
              <w:autoSpaceDN w:val="0"/>
              <w:bidi w:val="0"/>
              <w:adjustRightInd/>
              <w:snapToGrid/>
              <w:spacing w:line="400" w:lineRule="exact"/>
              <w:ind w:left="184" w:leftChars="0" w:right="0" w:rightChars="0"/>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9</w:t>
            </w:r>
          </w:p>
        </w:tc>
        <w:tc>
          <w:tcPr>
            <w:tcW w:w="1114" w:type="dxa"/>
            <w:vAlign w:val="top"/>
          </w:tcPr>
          <w:p w14:paraId="62EA83C3">
            <w:pPr>
              <w:pStyle w:val="25"/>
              <w:keepNext w:val="0"/>
              <w:keepLines w:val="0"/>
              <w:pageBreakBefore w:val="0"/>
              <w:widowControl w:val="0"/>
              <w:kinsoku/>
              <w:wordWrap/>
              <w:overflowPunct/>
              <w:topLinePunct w:val="0"/>
              <w:autoSpaceDE w:val="0"/>
              <w:autoSpaceDN w:val="0"/>
              <w:bidi w:val="0"/>
              <w:adjustRightInd/>
              <w:snapToGrid/>
              <w:spacing w:line="400" w:lineRule="exact"/>
              <w:ind w:left="96" w:leftChars="0" w:right="91" w:rightChars="0"/>
              <w:jc w:val="center"/>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15.4</w:t>
            </w:r>
          </w:p>
        </w:tc>
        <w:tc>
          <w:tcPr>
            <w:tcW w:w="7636" w:type="dxa"/>
            <w:vAlign w:val="top"/>
          </w:tcPr>
          <w:p w14:paraId="7EA608A9">
            <w:pPr>
              <w:pStyle w:val="25"/>
              <w:keepNext w:val="0"/>
              <w:keepLines w:val="0"/>
              <w:pageBreakBefore w:val="0"/>
              <w:widowControl w:val="0"/>
              <w:kinsoku/>
              <w:wordWrap/>
              <w:overflowPunct/>
              <w:topLinePunct w:val="0"/>
              <w:autoSpaceDE w:val="0"/>
              <w:autoSpaceDN w:val="0"/>
              <w:bidi w:val="0"/>
              <w:adjustRightInd/>
              <w:snapToGrid/>
              <w:spacing w:before="96" w:line="400" w:lineRule="exact"/>
              <w:ind w:left="106"/>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招标文件的质疑</w:t>
            </w:r>
          </w:p>
          <w:p w14:paraId="26A60046">
            <w:pPr>
              <w:pStyle w:val="25"/>
              <w:keepNext w:val="0"/>
              <w:keepLines w:val="0"/>
              <w:pageBreakBefore w:val="0"/>
              <w:widowControl w:val="0"/>
              <w:numPr>
                <w:ilvl w:val="0"/>
                <w:numId w:val="6"/>
              </w:numPr>
              <w:tabs>
                <w:tab w:val="left" w:pos="722"/>
              </w:tabs>
              <w:kinsoku/>
              <w:wordWrap/>
              <w:overflowPunct/>
              <w:topLinePunct w:val="0"/>
              <w:autoSpaceDE w:val="0"/>
              <w:autoSpaceDN w:val="0"/>
              <w:bidi w:val="0"/>
              <w:adjustRightInd/>
              <w:snapToGrid/>
              <w:spacing w:before="112" w:after="0" w:line="400" w:lineRule="exact"/>
              <w:ind w:left="106" w:right="103" w:firstLine="0"/>
              <w:jc w:val="left"/>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潜在投标人可在质疑时效期间内对招标文件以书面形式提出质疑。</w:t>
            </w:r>
          </w:p>
          <w:p w14:paraId="59A59A05">
            <w:pPr>
              <w:pStyle w:val="25"/>
              <w:keepNext w:val="0"/>
              <w:keepLines w:val="0"/>
              <w:pageBreakBefore w:val="0"/>
              <w:widowControl w:val="0"/>
              <w:numPr>
                <w:ilvl w:val="0"/>
                <w:numId w:val="6"/>
              </w:numPr>
              <w:tabs>
                <w:tab w:val="left" w:pos="722"/>
              </w:tabs>
              <w:kinsoku/>
              <w:wordWrap/>
              <w:overflowPunct/>
              <w:topLinePunct w:val="0"/>
              <w:autoSpaceDE w:val="0"/>
              <w:autoSpaceDN w:val="0"/>
              <w:bidi w:val="0"/>
              <w:adjustRightInd/>
              <w:snapToGrid/>
              <w:spacing w:before="0" w:after="0" w:line="400" w:lineRule="exact"/>
              <w:ind w:left="106" w:right="100" w:firstLine="0"/>
              <w:jc w:val="both"/>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3"/>
                <w:sz w:val="24"/>
              </w:rPr>
              <w:t xml:space="preserve">质疑时效期间：应在依法获取招标文件之日起 </w:t>
            </w:r>
            <w:r>
              <w:rPr>
                <w:rFonts w:hint="eastAsia" w:asciiTheme="minorEastAsia" w:hAnsiTheme="minorEastAsia" w:eastAsiaTheme="minorEastAsia" w:cstheme="minorEastAsia"/>
                <w:color w:val="auto"/>
                <w:sz w:val="24"/>
              </w:rPr>
              <w:t>7</w:t>
            </w:r>
            <w:r>
              <w:rPr>
                <w:rFonts w:hint="eastAsia" w:asciiTheme="minorEastAsia" w:hAnsiTheme="minorEastAsia" w:eastAsiaTheme="minorEastAsia" w:cstheme="minorEastAsia"/>
                <w:color w:val="auto"/>
                <w:spacing w:val="17"/>
                <w:sz w:val="24"/>
              </w:rPr>
              <w:t xml:space="preserve"> </w:t>
            </w:r>
            <w:r>
              <w:rPr>
                <w:rFonts w:hint="eastAsia" w:asciiTheme="minorEastAsia" w:hAnsiTheme="minorEastAsia" w:eastAsiaTheme="minorEastAsia" w:cstheme="minorEastAsia"/>
                <w:color w:val="auto"/>
                <w:sz w:val="24"/>
              </w:rPr>
              <w:t>个工作日内向</w:t>
            </w:r>
            <w:r>
              <w:rPr>
                <w:rFonts w:hint="eastAsia" w:asciiTheme="minorEastAsia" w:hAnsiTheme="minorEastAsia" w:eastAsiaTheme="minorEastAsia" w:cstheme="minorEastAsia"/>
                <w:color w:val="auto"/>
                <w:spacing w:val="-2"/>
                <w:sz w:val="24"/>
                <w:lang w:eastAsia="zh-CN"/>
              </w:rPr>
              <w:t>锐驰项目管理有限公司</w:t>
            </w:r>
            <w:r>
              <w:rPr>
                <w:rFonts w:hint="eastAsia" w:asciiTheme="minorEastAsia" w:hAnsiTheme="minorEastAsia" w:eastAsiaTheme="minorEastAsia" w:cstheme="minorEastAsia"/>
                <w:color w:val="auto"/>
                <w:spacing w:val="-2"/>
                <w:sz w:val="24"/>
              </w:rPr>
              <w:t>提出，依法获取招标文件的时间以报名登</w:t>
            </w:r>
            <w:r>
              <w:rPr>
                <w:rFonts w:hint="eastAsia" w:asciiTheme="minorEastAsia" w:hAnsiTheme="minorEastAsia" w:eastAsiaTheme="minorEastAsia" w:cstheme="minorEastAsia"/>
                <w:color w:val="auto"/>
                <w:sz w:val="24"/>
              </w:rPr>
              <w:t>记单登记为准。</w:t>
            </w:r>
          </w:p>
          <w:p w14:paraId="460E1428">
            <w:pPr>
              <w:pStyle w:val="25"/>
              <w:keepNext w:val="0"/>
              <w:keepLines w:val="0"/>
              <w:pageBreakBefore w:val="0"/>
              <w:widowControl w:val="0"/>
              <w:kinsoku/>
              <w:wordWrap/>
              <w:overflowPunct/>
              <w:topLinePunct w:val="0"/>
              <w:autoSpaceDE w:val="0"/>
              <w:autoSpaceDN w:val="0"/>
              <w:bidi w:val="0"/>
              <w:adjustRightInd/>
              <w:snapToGrid/>
              <w:spacing w:line="400" w:lineRule="exact"/>
              <w:ind w:left="106"/>
              <w:jc w:val="both"/>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※除上述规定外，对招标文件提出的质疑还应符合招标文件第三章第</w:t>
            </w:r>
          </w:p>
          <w:p w14:paraId="19DB73A8">
            <w:pPr>
              <w:pStyle w:val="25"/>
              <w:keepNext w:val="0"/>
              <w:keepLines w:val="0"/>
              <w:pageBreakBefore w:val="0"/>
              <w:widowControl w:val="0"/>
              <w:kinsoku/>
              <w:wordWrap/>
              <w:overflowPunct/>
              <w:topLinePunct w:val="0"/>
              <w:autoSpaceDE w:val="0"/>
              <w:autoSpaceDN w:val="0"/>
              <w:bidi w:val="0"/>
              <w:adjustRightInd/>
              <w:snapToGrid/>
              <w:spacing w:before="110" w:line="400" w:lineRule="exact"/>
              <w:ind w:left="106" w:leftChars="0" w:right="0" w:rightChars="0"/>
              <w:jc w:val="both"/>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15.1 条的有关规定。</w:t>
            </w:r>
          </w:p>
        </w:tc>
      </w:tr>
      <w:tr w14:paraId="728850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492" w:type="dxa"/>
            <w:vAlign w:val="top"/>
          </w:tcPr>
          <w:p w14:paraId="60A55738">
            <w:pPr>
              <w:pStyle w:val="25"/>
              <w:keepNext w:val="0"/>
              <w:keepLines w:val="0"/>
              <w:pageBreakBefore w:val="0"/>
              <w:widowControl w:val="0"/>
              <w:kinsoku/>
              <w:wordWrap/>
              <w:overflowPunct/>
              <w:topLinePunct w:val="0"/>
              <w:autoSpaceDE w:val="0"/>
              <w:autoSpaceDN w:val="0"/>
              <w:bidi w:val="0"/>
              <w:adjustRightInd/>
              <w:snapToGrid/>
              <w:spacing w:before="107" w:line="400" w:lineRule="exact"/>
              <w:ind w:left="124" w:leftChars="0" w:right="0" w:rightChars="0"/>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10</w:t>
            </w:r>
          </w:p>
        </w:tc>
        <w:tc>
          <w:tcPr>
            <w:tcW w:w="1114" w:type="dxa"/>
            <w:vAlign w:val="top"/>
          </w:tcPr>
          <w:p w14:paraId="75C4627A">
            <w:pPr>
              <w:pStyle w:val="25"/>
              <w:keepNext w:val="0"/>
              <w:keepLines w:val="0"/>
              <w:pageBreakBefore w:val="0"/>
              <w:widowControl w:val="0"/>
              <w:kinsoku/>
              <w:wordWrap/>
              <w:overflowPunct/>
              <w:topLinePunct w:val="0"/>
              <w:autoSpaceDE w:val="0"/>
              <w:autoSpaceDN w:val="0"/>
              <w:bidi w:val="0"/>
              <w:adjustRightInd/>
              <w:snapToGrid/>
              <w:spacing w:before="107" w:line="400" w:lineRule="exact"/>
              <w:ind w:left="96" w:leftChars="0" w:right="91" w:rightChars="0"/>
              <w:jc w:val="center"/>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16.1</w:t>
            </w:r>
          </w:p>
        </w:tc>
        <w:tc>
          <w:tcPr>
            <w:tcW w:w="7636" w:type="dxa"/>
            <w:vAlign w:val="top"/>
          </w:tcPr>
          <w:p w14:paraId="167FF1D3">
            <w:pPr>
              <w:pStyle w:val="25"/>
              <w:keepNext w:val="0"/>
              <w:keepLines w:val="0"/>
              <w:pageBreakBefore w:val="0"/>
              <w:widowControl w:val="0"/>
              <w:kinsoku/>
              <w:wordWrap/>
              <w:overflowPunct/>
              <w:topLinePunct w:val="0"/>
              <w:autoSpaceDE w:val="0"/>
              <w:autoSpaceDN w:val="0"/>
              <w:bidi w:val="0"/>
              <w:adjustRightInd/>
              <w:snapToGrid/>
              <w:spacing w:before="96" w:line="400" w:lineRule="exact"/>
              <w:ind w:left="106" w:leftChars="0" w:right="0" w:rightChars="0"/>
              <w:textAlignment w:val="auto"/>
              <w:rPr>
                <w:rFonts w:hint="eastAsia" w:asciiTheme="minorEastAsia" w:hAnsiTheme="minorEastAsia" w:eastAsiaTheme="minorEastAsia" w:cstheme="minorEastAsia"/>
                <w:color w:val="auto"/>
                <w:sz w:val="24"/>
                <w:szCs w:val="22"/>
                <w:lang w:val="en-US" w:eastAsia="zh-CN" w:bidi="ar-SA"/>
              </w:rPr>
            </w:pPr>
            <w:r>
              <w:rPr>
                <w:rFonts w:hint="eastAsia" w:asciiTheme="minorEastAsia" w:hAnsiTheme="minorEastAsia" w:eastAsiaTheme="minorEastAsia" w:cstheme="minorEastAsia"/>
                <w:color w:val="auto"/>
                <w:sz w:val="24"/>
              </w:rPr>
              <w:t>监督管理部门：</w:t>
            </w:r>
            <w:r>
              <w:rPr>
                <w:rFonts w:hint="eastAsia" w:asciiTheme="minorEastAsia" w:hAnsiTheme="minorEastAsia" w:eastAsiaTheme="minorEastAsia" w:cstheme="minorEastAsia"/>
                <w:color w:val="auto"/>
                <w:sz w:val="24"/>
                <w:lang w:val="en-US" w:eastAsia="zh-CN"/>
              </w:rPr>
              <w:t>福安市城市建设投资集团有限公司监督管理部门。</w:t>
            </w:r>
          </w:p>
        </w:tc>
      </w:tr>
      <w:tr w14:paraId="712EBF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492" w:type="dxa"/>
            <w:vAlign w:val="top"/>
          </w:tcPr>
          <w:p w14:paraId="0ED1D6C8">
            <w:pPr>
              <w:pStyle w:val="25"/>
              <w:keepNext w:val="0"/>
              <w:keepLines w:val="0"/>
              <w:pageBreakBefore w:val="0"/>
              <w:widowControl w:val="0"/>
              <w:kinsoku/>
              <w:wordWrap/>
              <w:overflowPunct/>
              <w:topLinePunct w:val="0"/>
              <w:autoSpaceDE w:val="0"/>
              <w:autoSpaceDN w:val="0"/>
              <w:bidi w:val="0"/>
              <w:adjustRightInd/>
              <w:snapToGrid/>
              <w:spacing w:line="400" w:lineRule="exact"/>
              <w:ind w:left="124" w:leftChars="0" w:right="0" w:rightChars="0"/>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11</w:t>
            </w:r>
          </w:p>
        </w:tc>
        <w:tc>
          <w:tcPr>
            <w:tcW w:w="1114" w:type="dxa"/>
            <w:vAlign w:val="top"/>
          </w:tcPr>
          <w:p w14:paraId="287D2659">
            <w:pPr>
              <w:pStyle w:val="25"/>
              <w:keepNext w:val="0"/>
              <w:keepLines w:val="0"/>
              <w:pageBreakBefore w:val="0"/>
              <w:widowControl w:val="0"/>
              <w:kinsoku/>
              <w:wordWrap/>
              <w:overflowPunct/>
              <w:topLinePunct w:val="0"/>
              <w:autoSpaceDE w:val="0"/>
              <w:autoSpaceDN w:val="0"/>
              <w:bidi w:val="0"/>
              <w:adjustRightInd/>
              <w:snapToGrid/>
              <w:spacing w:line="400" w:lineRule="exact"/>
              <w:ind w:left="96" w:leftChars="0" w:right="91" w:rightChars="0"/>
              <w:jc w:val="center"/>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18.1</w:t>
            </w:r>
          </w:p>
        </w:tc>
        <w:tc>
          <w:tcPr>
            <w:tcW w:w="7636" w:type="dxa"/>
            <w:vAlign w:val="top"/>
          </w:tcPr>
          <w:p w14:paraId="16DF5A56">
            <w:pPr>
              <w:pStyle w:val="25"/>
              <w:keepNext w:val="0"/>
              <w:keepLines w:val="0"/>
              <w:pageBreakBefore w:val="0"/>
              <w:widowControl w:val="0"/>
              <w:kinsoku/>
              <w:wordWrap/>
              <w:overflowPunct/>
              <w:topLinePunct w:val="0"/>
              <w:autoSpaceDE w:val="0"/>
              <w:autoSpaceDN w:val="0"/>
              <w:bidi w:val="0"/>
              <w:adjustRightInd/>
              <w:snapToGrid/>
              <w:spacing w:before="98" w:line="400" w:lineRule="exact"/>
              <w:ind w:left="106"/>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财政部指定的</w:t>
            </w:r>
            <w:r>
              <w:rPr>
                <w:rFonts w:hint="eastAsia" w:asciiTheme="minorEastAsia" w:hAnsiTheme="minorEastAsia" w:eastAsiaTheme="minorEastAsia" w:cstheme="minorEastAsia"/>
                <w:color w:val="auto"/>
                <w:sz w:val="24"/>
                <w:lang w:eastAsia="zh-CN"/>
              </w:rPr>
              <w:t>企业采购</w:t>
            </w:r>
            <w:r>
              <w:rPr>
                <w:rFonts w:hint="eastAsia" w:asciiTheme="minorEastAsia" w:hAnsiTheme="minorEastAsia" w:eastAsiaTheme="minorEastAsia" w:cstheme="minorEastAsia"/>
                <w:color w:val="auto"/>
                <w:sz w:val="24"/>
              </w:rPr>
              <w:t>信息发布媒体（以下简称：“指定媒体”）：</w:t>
            </w:r>
          </w:p>
          <w:p w14:paraId="7170B2A6">
            <w:pPr>
              <w:pStyle w:val="14"/>
              <w:wordWrap w:val="0"/>
              <w:rPr>
                <w:rFonts w:hint="eastAsia" w:cs="宋体"/>
                <w:color w:val="auto"/>
                <w:sz w:val="24"/>
                <w:szCs w:val="24"/>
              </w:rPr>
            </w:pPr>
            <w:r>
              <w:rPr>
                <w:rFonts w:hint="eastAsia" w:cs="宋体"/>
                <w:color w:val="auto"/>
                <w:sz w:val="24"/>
                <w:szCs w:val="24"/>
              </w:rPr>
              <w:t>（1）、宁德市有信产权交易服务有限公司(http://www.ndcqjy.com/cn/index)</w:t>
            </w:r>
          </w:p>
          <w:p w14:paraId="1FD97549">
            <w:pPr>
              <w:pStyle w:val="25"/>
              <w:keepNext w:val="0"/>
              <w:keepLines w:val="0"/>
              <w:pageBreakBefore w:val="0"/>
              <w:widowControl w:val="0"/>
              <w:kinsoku/>
              <w:wordWrap/>
              <w:overflowPunct/>
              <w:topLinePunct w:val="0"/>
              <w:autoSpaceDE w:val="0"/>
              <w:autoSpaceDN w:val="0"/>
              <w:bidi w:val="0"/>
              <w:adjustRightInd/>
              <w:snapToGrid/>
              <w:spacing w:before="112" w:line="400" w:lineRule="exact"/>
              <w:ind w:right="0" w:rightChars="0"/>
              <w:textAlignment w:val="auto"/>
              <w:rPr>
                <w:rFonts w:hint="eastAsia" w:asciiTheme="minorEastAsia" w:hAnsiTheme="minorEastAsia" w:eastAsiaTheme="minorEastAsia" w:cstheme="minorEastAsia"/>
                <w:color w:val="auto"/>
                <w:sz w:val="24"/>
                <w:szCs w:val="22"/>
                <w:lang w:val="en-US" w:eastAsia="en-US" w:bidi="ar-SA"/>
              </w:rPr>
            </w:pPr>
            <w:r>
              <w:rPr>
                <w:rFonts w:hint="eastAsia" w:cs="宋体"/>
                <w:color w:val="auto"/>
                <w:sz w:val="24"/>
                <w:szCs w:val="24"/>
              </w:rPr>
              <w:t>（2）、</w:t>
            </w:r>
            <w:r>
              <w:rPr>
                <w:rFonts w:hint="eastAsia" w:cs="宋体"/>
                <w:color w:val="auto"/>
                <w:sz w:val="24"/>
                <w:szCs w:val="24"/>
                <w:lang w:eastAsia="zh-CN"/>
              </w:rPr>
              <w:t>福建省</w:t>
            </w:r>
            <w:r>
              <w:rPr>
                <w:rFonts w:hint="eastAsia" w:cs="宋体"/>
                <w:color w:val="auto"/>
                <w:sz w:val="24"/>
                <w:szCs w:val="24"/>
              </w:rPr>
              <w:t>国资</w:t>
            </w:r>
            <w:r>
              <w:rPr>
                <w:rFonts w:hint="eastAsia" w:cs="宋体"/>
                <w:color w:val="auto"/>
                <w:sz w:val="24"/>
                <w:szCs w:val="24"/>
                <w:lang w:eastAsia="zh-CN"/>
              </w:rPr>
              <w:t>采购</w:t>
            </w:r>
            <w:r>
              <w:rPr>
                <w:rFonts w:hint="eastAsia" w:cs="宋体"/>
                <w:color w:val="auto"/>
                <w:sz w:val="24"/>
                <w:szCs w:val="24"/>
              </w:rPr>
              <w:t>平台（https://ygcg.fjcqjy.com/）</w:t>
            </w:r>
          </w:p>
        </w:tc>
      </w:tr>
      <w:tr w14:paraId="4D1F5F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492" w:type="dxa"/>
            <w:vAlign w:val="top"/>
          </w:tcPr>
          <w:p w14:paraId="51177E76">
            <w:pPr>
              <w:pStyle w:val="25"/>
              <w:keepNext w:val="0"/>
              <w:keepLines w:val="0"/>
              <w:pageBreakBefore w:val="0"/>
              <w:widowControl w:val="0"/>
              <w:kinsoku/>
              <w:wordWrap/>
              <w:overflowPunct/>
              <w:topLinePunct w:val="0"/>
              <w:autoSpaceDE w:val="0"/>
              <w:autoSpaceDN w:val="0"/>
              <w:bidi w:val="0"/>
              <w:adjustRightInd/>
              <w:snapToGrid/>
              <w:spacing w:line="400" w:lineRule="exact"/>
              <w:ind w:left="124" w:leftChars="0" w:right="0" w:rightChars="0"/>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12</w:t>
            </w:r>
          </w:p>
        </w:tc>
        <w:tc>
          <w:tcPr>
            <w:tcW w:w="1114" w:type="dxa"/>
            <w:vAlign w:val="top"/>
          </w:tcPr>
          <w:p w14:paraId="39B54BD3">
            <w:pPr>
              <w:pStyle w:val="25"/>
              <w:keepNext w:val="0"/>
              <w:keepLines w:val="0"/>
              <w:pageBreakBefore w:val="0"/>
              <w:widowControl w:val="0"/>
              <w:kinsoku/>
              <w:wordWrap/>
              <w:overflowPunct/>
              <w:topLinePunct w:val="0"/>
              <w:autoSpaceDE w:val="0"/>
              <w:autoSpaceDN w:val="0"/>
              <w:bidi w:val="0"/>
              <w:adjustRightInd/>
              <w:snapToGrid/>
              <w:spacing w:line="400" w:lineRule="exact"/>
              <w:ind w:left="96" w:leftChars="0" w:right="91" w:rightChars="0"/>
              <w:jc w:val="center"/>
              <w:textAlignment w:val="auto"/>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19</w:t>
            </w:r>
          </w:p>
        </w:tc>
        <w:tc>
          <w:tcPr>
            <w:tcW w:w="7636" w:type="dxa"/>
            <w:vAlign w:val="top"/>
          </w:tcPr>
          <w:p w14:paraId="02C62155">
            <w:pPr>
              <w:pStyle w:val="25"/>
              <w:keepNext w:val="0"/>
              <w:keepLines w:val="0"/>
              <w:pageBreakBefore w:val="0"/>
              <w:widowControl w:val="0"/>
              <w:kinsoku/>
              <w:wordWrap/>
              <w:overflowPunct/>
              <w:topLinePunct w:val="0"/>
              <w:autoSpaceDE w:val="0"/>
              <w:autoSpaceDN w:val="0"/>
              <w:bidi w:val="0"/>
              <w:adjustRightInd/>
              <w:snapToGrid/>
              <w:spacing w:before="98" w:line="400" w:lineRule="exact"/>
              <w:ind w:left="106"/>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其他事项：</w:t>
            </w:r>
          </w:p>
          <w:p w14:paraId="378818E9">
            <w:pPr>
              <w:pStyle w:val="25"/>
              <w:keepNext w:val="0"/>
              <w:keepLines w:val="0"/>
              <w:pageBreakBefore w:val="0"/>
              <w:widowControl w:val="0"/>
              <w:kinsoku/>
              <w:wordWrap/>
              <w:overflowPunct/>
              <w:topLinePunct w:val="0"/>
              <w:autoSpaceDE w:val="0"/>
              <w:autoSpaceDN w:val="0"/>
              <w:bidi w:val="0"/>
              <w:adjustRightInd/>
              <w:snapToGrid/>
              <w:spacing w:before="112" w:line="400" w:lineRule="exact"/>
              <w:ind w:left="106"/>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（1）本项目代理服务费：</w:t>
            </w:r>
          </w:p>
          <w:p w14:paraId="7641AE00">
            <w:pPr>
              <w:pStyle w:val="25"/>
              <w:keepNext w:val="0"/>
              <w:keepLines w:val="0"/>
              <w:pageBreakBefore w:val="0"/>
              <w:widowControl w:val="0"/>
              <w:kinsoku/>
              <w:wordWrap/>
              <w:overflowPunct/>
              <w:topLinePunct w:val="0"/>
              <w:autoSpaceDE w:val="0"/>
              <w:autoSpaceDN w:val="0"/>
              <w:bidi w:val="0"/>
              <w:adjustRightInd/>
              <w:snapToGrid/>
              <w:spacing w:before="113" w:line="400" w:lineRule="exact"/>
              <w:ind w:left="106" w:leftChars="0" w:right="0" w:rightChars="0"/>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代理服务费用收取对象：中标/成交供应商</w:t>
            </w:r>
          </w:p>
          <w:p w14:paraId="4EE9663B">
            <w:pPr>
              <w:pStyle w:val="9"/>
              <w:keepNext w:val="0"/>
              <w:keepLines w:val="0"/>
              <w:pageBreakBefore w:val="0"/>
              <w:widowControl w:val="0"/>
              <w:kinsoku/>
              <w:wordWrap/>
              <w:overflowPunct/>
              <w:topLinePunct w:val="0"/>
              <w:autoSpaceDE w:val="0"/>
              <w:autoSpaceDN w:val="0"/>
              <w:bidi w:val="0"/>
              <w:adjustRightInd/>
              <w:snapToGrid/>
              <w:spacing w:line="400" w:lineRule="exact"/>
              <w:ind w:firstLine="476" w:firstLineChars="200"/>
              <w:jc w:val="left"/>
              <w:textAlignment w:val="auto"/>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eastAsiaTheme="minorEastAsia" w:cstheme="minorEastAsia"/>
                <w:color w:val="auto"/>
                <w:spacing w:val="-1"/>
                <w:sz w:val="24"/>
                <w:highlight w:val="none"/>
              </w:rPr>
              <w:t>代理服务费收费标准：100万元以下按中标总金额的1.5%收取，100万元～500万元，按中标总金额的1.1 %收取；500万元～1000万元，按中标总金额的0.8%收取；1000万元～5000万元，按中标总金额的0.5%收取；5000万元～10000万元，按中标总金额的0.25%收取；10000万元～100000万元，按中标总金额的0.05%收取；100000万元以上，按中标总金额的0.01%收取；服务费按差额定率累进法计算。招标代理服务费由</w:t>
            </w:r>
            <w:r>
              <w:rPr>
                <w:rFonts w:hint="eastAsia" w:asciiTheme="minorEastAsia" w:hAnsiTheme="minorEastAsia" w:eastAsiaTheme="minorEastAsia" w:cstheme="minorEastAsia"/>
                <w:color w:val="auto"/>
                <w:spacing w:val="-1"/>
                <w:sz w:val="24"/>
                <w:highlight w:val="none"/>
                <w:lang w:eastAsia="zh-CN"/>
              </w:rPr>
              <w:t>各采购包的</w:t>
            </w:r>
            <w:r>
              <w:rPr>
                <w:rFonts w:hint="eastAsia" w:asciiTheme="minorEastAsia" w:hAnsiTheme="minorEastAsia" w:eastAsiaTheme="minorEastAsia" w:cstheme="minorEastAsia"/>
                <w:color w:val="auto"/>
                <w:spacing w:val="-1"/>
                <w:sz w:val="24"/>
                <w:highlight w:val="none"/>
              </w:rPr>
              <w:t>中标人在领取中标通知书前以支票、现金等付款方式一次性付清</w:t>
            </w:r>
            <w:r>
              <w:rPr>
                <w:rFonts w:hint="eastAsia" w:asciiTheme="minorEastAsia" w:hAnsiTheme="minorEastAsia" w:eastAsiaTheme="minorEastAsia" w:cstheme="minorEastAsia"/>
                <w:color w:val="auto"/>
                <w:spacing w:val="-1"/>
                <w:sz w:val="24"/>
                <w:highlight w:val="none"/>
                <w:lang w:eastAsia="zh-CN"/>
              </w:rPr>
              <w:t>。</w:t>
            </w:r>
          </w:p>
          <w:p w14:paraId="261D6DF6">
            <w:pPr>
              <w:pStyle w:val="25"/>
              <w:keepNext w:val="0"/>
              <w:keepLines w:val="0"/>
              <w:pageBreakBefore w:val="0"/>
              <w:widowControl w:val="0"/>
              <w:kinsoku/>
              <w:wordWrap/>
              <w:overflowPunct/>
              <w:topLinePunct w:val="0"/>
              <w:autoSpaceDE w:val="0"/>
              <w:autoSpaceDN w:val="0"/>
              <w:bidi w:val="0"/>
              <w:adjustRightInd/>
              <w:snapToGrid/>
              <w:spacing w:before="108" w:line="400" w:lineRule="exact"/>
              <w:ind w:left="106"/>
              <w:textAlignment w:val="auto"/>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（2）其他：</w:t>
            </w:r>
          </w:p>
          <w:p w14:paraId="579EC3C0">
            <w:pPr>
              <w:pStyle w:val="25"/>
              <w:keepNext w:val="0"/>
              <w:keepLines w:val="0"/>
              <w:pageBreakBefore w:val="0"/>
              <w:widowControl w:val="0"/>
              <w:kinsoku/>
              <w:wordWrap/>
              <w:overflowPunct/>
              <w:topLinePunct w:val="0"/>
              <w:autoSpaceDE w:val="0"/>
              <w:autoSpaceDN w:val="0"/>
              <w:bidi w:val="0"/>
              <w:adjustRightInd/>
              <w:snapToGrid/>
              <w:spacing w:before="113" w:line="400" w:lineRule="exact"/>
              <w:ind w:left="106" w:leftChars="0" w:right="0" w:rightChars="0"/>
              <w:textAlignment w:val="auto"/>
              <w:rPr>
                <w:rFonts w:hint="eastAsia" w:asciiTheme="minorEastAsia" w:hAnsiTheme="minorEastAsia" w:eastAsiaTheme="minorEastAsia" w:cstheme="minorEastAsia"/>
                <w:color w:val="auto"/>
                <w:sz w:val="24"/>
                <w:lang w:val="en-US" w:eastAsia="en-US"/>
              </w:rPr>
            </w:pPr>
            <w:r>
              <w:rPr>
                <w:rFonts w:hint="eastAsia" w:asciiTheme="minorEastAsia" w:hAnsiTheme="minorEastAsia" w:eastAsiaTheme="minorEastAsia" w:cstheme="minorEastAsia"/>
                <w:color w:val="auto"/>
                <w:spacing w:val="-9"/>
                <w:sz w:val="24"/>
              </w:rPr>
              <w:t>①、质疑人线下提交书面质疑的，质疑书还应包括：</w:t>
            </w:r>
            <w:r>
              <w:rPr>
                <w:rFonts w:hint="eastAsia" w:asciiTheme="minorEastAsia" w:hAnsiTheme="minorEastAsia" w:eastAsiaTheme="minorEastAsia" w:cstheme="minorEastAsia"/>
                <w:color w:val="auto"/>
                <w:spacing w:val="-15"/>
                <w:sz w:val="24"/>
              </w:rPr>
              <w:t>a</w:t>
            </w:r>
            <w:r>
              <w:rPr>
                <w:rFonts w:hint="eastAsia" w:asciiTheme="minorEastAsia" w:hAnsiTheme="minorEastAsia" w:eastAsiaTheme="minorEastAsia" w:cstheme="minorEastAsia"/>
                <w:color w:val="auto"/>
                <w:spacing w:val="-8"/>
                <w:sz w:val="24"/>
              </w:rPr>
              <w:t>、质疑人已对本</w:t>
            </w:r>
            <w:r>
              <w:rPr>
                <w:rFonts w:hint="eastAsia" w:asciiTheme="minorEastAsia" w:hAnsiTheme="minorEastAsia" w:eastAsiaTheme="minorEastAsia" w:cstheme="minorEastAsia"/>
                <w:color w:val="auto"/>
                <w:sz w:val="24"/>
              </w:rPr>
              <w:t>项目进行报名的证明文件（体现报名时间</w:t>
            </w:r>
            <w:r>
              <w:rPr>
                <w:rFonts w:hint="eastAsia" w:asciiTheme="minorEastAsia" w:hAnsiTheme="minorEastAsia" w:eastAsiaTheme="minorEastAsia" w:cstheme="minorEastAsia"/>
                <w:color w:val="auto"/>
                <w:spacing w:val="-3"/>
                <w:sz w:val="24"/>
              </w:rPr>
              <w:t>），</w:t>
            </w:r>
            <w:r>
              <w:rPr>
                <w:rFonts w:hint="eastAsia" w:asciiTheme="minorEastAsia" w:hAnsiTheme="minorEastAsia" w:eastAsiaTheme="minorEastAsia" w:cstheme="minorEastAsia"/>
                <w:color w:val="auto"/>
                <w:spacing w:val="-2"/>
                <w:sz w:val="24"/>
              </w:rPr>
              <w:t>否则将不被认定为潜在</w:t>
            </w:r>
            <w:r>
              <w:rPr>
                <w:rFonts w:hint="eastAsia" w:asciiTheme="minorEastAsia" w:hAnsiTheme="minorEastAsia" w:eastAsiaTheme="minorEastAsia" w:cstheme="minorEastAsia"/>
                <w:color w:val="auto"/>
                <w:spacing w:val="2"/>
                <w:sz w:val="24"/>
              </w:rPr>
              <w:t>投标人；</w:t>
            </w:r>
            <w:r>
              <w:rPr>
                <w:rFonts w:hint="eastAsia" w:asciiTheme="minorEastAsia" w:hAnsiTheme="minorEastAsia" w:eastAsiaTheme="minorEastAsia" w:cstheme="minorEastAsia"/>
                <w:color w:val="auto"/>
                <w:spacing w:val="3"/>
                <w:sz w:val="24"/>
              </w:rPr>
              <w:t>b</w:t>
            </w:r>
            <w:r>
              <w:rPr>
                <w:rFonts w:hint="eastAsia" w:asciiTheme="minorEastAsia" w:hAnsiTheme="minorEastAsia" w:eastAsiaTheme="minorEastAsia" w:cstheme="minorEastAsia"/>
                <w:color w:val="auto"/>
                <w:sz w:val="24"/>
              </w:rPr>
              <w:t>、质疑人为法人或其他组织的，质疑函需逐页加盖质疑人</w:t>
            </w:r>
            <w:r>
              <w:rPr>
                <w:rFonts w:hint="eastAsia" w:asciiTheme="minorEastAsia" w:hAnsiTheme="minorEastAsia" w:eastAsiaTheme="minorEastAsia" w:cstheme="minorEastAsia"/>
                <w:color w:val="auto"/>
                <w:spacing w:val="-2"/>
                <w:sz w:val="24"/>
              </w:rPr>
              <w:t>单位公章；若本项目接受自然人投标且质疑人为自然人的，质疑函需质疑人本人逐页签名。②、在法定质疑期内供应商须一次性提出针对</w:t>
            </w:r>
            <w:r>
              <w:rPr>
                <w:rFonts w:hint="eastAsia" w:asciiTheme="minorEastAsia" w:hAnsiTheme="minorEastAsia" w:eastAsiaTheme="minorEastAsia" w:cstheme="minorEastAsia"/>
                <w:color w:val="auto"/>
                <w:sz w:val="24"/>
              </w:rPr>
              <w:t>同一采购程序环节的质疑，二（多</w:t>
            </w:r>
            <w:r>
              <w:rPr>
                <w:rFonts w:hint="eastAsia" w:asciiTheme="minorEastAsia" w:hAnsiTheme="minorEastAsia" w:eastAsiaTheme="minorEastAsia" w:cstheme="minorEastAsia"/>
                <w:color w:val="auto"/>
                <w:spacing w:val="-3"/>
                <w:sz w:val="24"/>
              </w:rPr>
              <w:t>）</w:t>
            </w:r>
            <w:r>
              <w:rPr>
                <w:rFonts w:hint="eastAsia" w:asciiTheme="minorEastAsia" w:hAnsiTheme="minorEastAsia" w:eastAsiaTheme="minorEastAsia" w:cstheme="minorEastAsia"/>
                <w:color w:val="auto"/>
                <w:spacing w:val="-2"/>
                <w:sz w:val="24"/>
              </w:rPr>
              <w:t>次质疑不予受理，采购代理机构或采购人只针对第一次有效质疑进行答复。③、投标人对本项目招标文件有任何疑议或不认同之处，需在法定时间内按规定以书面方式提</w:t>
            </w:r>
            <w:r>
              <w:rPr>
                <w:rFonts w:hint="eastAsia" w:asciiTheme="minorEastAsia" w:hAnsiTheme="minorEastAsia" w:eastAsiaTheme="minorEastAsia" w:cstheme="minorEastAsia"/>
                <w:color w:val="auto"/>
                <w:sz w:val="24"/>
              </w:rPr>
              <w:t>出质疑，否则视为投标人接受招标文件的规定。</w:t>
            </w:r>
          </w:p>
        </w:tc>
      </w:tr>
    </w:tbl>
    <w:p w14:paraId="2D2D5C5F">
      <w:pPr>
        <w:spacing w:before="192"/>
        <w:ind w:left="1343" w:right="1703"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sz w:val="32"/>
        </w:rPr>
        <w:t>第三章 投标人须知</w:t>
      </w:r>
    </w:p>
    <w:p w14:paraId="23A66756">
      <w:pPr>
        <w:spacing w:before="90"/>
        <w:ind w:left="700" w:right="0" w:firstLine="0"/>
        <w:jc w:val="left"/>
        <w:rPr>
          <w:rFonts w:hint="eastAsia" w:asciiTheme="minorEastAsia" w:hAnsiTheme="minorEastAsia" w:eastAsiaTheme="minorEastAsia" w:cstheme="minorEastAsia"/>
          <w:b/>
          <w:color w:val="auto"/>
          <w:sz w:val="24"/>
        </w:rPr>
      </w:pPr>
      <w:bookmarkStart w:id="22" w:name="一、总则"/>
      <w:bookmarkEnd w:id="22"/>
      <w:r>
        <w:rPr>
          <w:rFonts w:hint="eastAsia" w:asciiTheme="minorEastAsia" w:hAnsiTheme="minorEastAsia" w:eastAsiaTheme="minorEastAsia" w:cstheme="minorEastAsia"/>
          <w:b/>
          <w:color w:val="auto"/>
          <w:sz w:val="24"/>
        </w:rPr>
        <w:t>一、总则</w:t>
      </w:r>
    </w:p>
    <w:p w14:paraId="2C4C935C">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1、适用范围</w:t>
      </w:r>
    </w:p>
    <w:p w14:paraId="5D33E26A">
      <w:pPr>
        <w:pStyle w:val="6"/>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1.1 适用于招标文件载明项目的</w:t>
      </w:r>
      <w:r>
        <w:rPr>
          <w:rFonts w:hint="eastAsia" w:asciiTheme="minorEastAsia" w:hAnsiTheme="minorEastAsia" w:eastAsiaTheme="minorEastAsia" w:cstheme="minorEastAsia"/>
          <w:color w:val="auto"/>
          <w:lang w:eastAsia="zh-CN"/>
        </w:rPr>
        <w:t>企业采购</w:t>
      </w:r>
      <w:r>
        <w:rPr>
          <w:rFonts w:hint="eastAsia" w:asciiTheme="minorEastAsia" w:hAnsiTheme="minorEastAsia" w:eastAsiaTheme="minorEastAsia" w:cstheme="minorEastAsia"/>
          <w:color w:val="auto"/>
        </w:rPr>
        <w:t>活动（以下简称：“本次采购活动”）。</w:t>
      </w:r>
    </w:p>
    <w:p w14:paraId="4CD635DB">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2、定义</w:t>
      </w:r>
    </w:p>
    <w:p w14:paraId="4EB279EE">
      <w:pPr>
        <w:pStyle w:val="24"/>
        <w:numPr>
          <w:ilvl w:val="1"/>
          <w:numId w:val="7"/>
        </w:numPr>
        <w:tabs>
          <w:tab w:val="left" w:pos="1006"/>
        </w:tabs>
        <w:spacing w:before="112" w:after="0" w:line="240" w:lineRule="auto"/>
        <w:ind w:left="1005" w:right="0" w:hanging="305"/>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“采购标的”指招标文件载明的需要采购的货物或服务。</w:t>
      </w:r>
    </w:p>
    <w:p w14:paraId="3C2D15E5">
      <w:pPr>
        <w:pStyle w:val="24"/>
        <w:numPr>
          <w:ilvl w:val="1"/>
          <w:numId w:val="7"/>
        </w:numPr>
        <w:tabs>
          <w:tab w:val="left" w:pos="1006"/>
        </w:tabs>
        <w:spacing w:before="113" w:after="0" w:line="328"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2"/>
          <w:sz w:val="24"/>
        </w:rPr>
        <w:t xml:space="preserve">“潜在投标人”指按照招标文件第一章第 </w:t>
      </w:r>
      <w:r>
        <w:rPr>
          <w:rFonts w:hint="eastAsia" w:asciiTheme="minorEastAsia" w:hAnsiTheme="minorEastAsia" w:eastAsiaTheme="minorEastAsia" w:cstheme="minorEastAsia"/>
          <w:color w:val="auto"/>
          <w:sz w:val="24"/>
        </w:rPr>
        <w:t>7</w:t>
      </w:r>
      <w:r>
        <w:rPr>
          <w:rFonts w:hint="eastAsia" w:asciiTheme="minorEastAsia" w:hAnsiTheme="minorEastAsia" w:eastAsiaTheme="minorEastAsia" w:cstheme="minorEastAsia"/>
          <w:color w:val="auto"/>
          <w:spacing w:val="35"/>
          <w:sz w:val="24"/>
        </w:rPr>
        <w:t xml:space="preserve"> </w:t>
      </w:r>
      <w:r>
        <w:rPr>
          <w:rFonts w:hint="eastAsia" w:asciiTheme="minorEastAsia" w:hAnsiTheme="minorEastAsia" w:eastAsiaTheme="minorEastAsia" w:cstheme="minorEastAsia"/>
          <w:color w:val="auto"/>
          <w:sz w:val="24"/>
        </w:rPr>
        <w:t>条规定获取招标文件且有意向参加本项目投标的供应商。</w:t>
      </w:r>
    </w:p>
    <w:p w14:paraId="60182D69">
      <w:pPr>
        <w:pStyle w:val="24"/>
        <w:numPr>
          <w:ilvl w:val="1"/>
          <w:numId w:val="7"/>
        </w:numPr>
        <w:tabs>
          <w:tab w:val="left" w:pos="1006"/>
        </w:tabs>
        <w:spacing w:before="0" w:after="0" w:line="328"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2"/>
          <w:sz w:val="24"/>
        </w:rPr>
        <w:t xml:space="preserve">“投标人”指按照招标文件第一章第 </w:t>
      </w:r>
      <w:r>
        <w:rPr>
          <w:rFonts w:hint="eastAsia" w:asciiTheme="minorEastAsia" w:hAnsiTheme="minorEastAsia" w:eastAsiaTheme="minorEastAsia" w:cstheme="minorEastAsia"/>
          <w:color w:val="auto"/>
          <w:sz w:val="24"/>
        </w:rPr>
        <w:t>7</w:t>
      </w:r>
      <w:r>
        <w:rPr>
          <w:rFonts w:hint="eastAsia" w:asciiTheme="minorEastAsia" w:hAnsiTheme="minorEastAsia" w:eastAsiaTheme="minorEastAsia" w:cstheme="minorEastAsia"/>
          <w:color w:val="auto"/>
          <w:spacing w:val="35"/>
          <w:sz w:val="24"/>
        </w:rPr>
        <w:t xml:space="preserve"> </w:t>
      </w:r>
      <w:r>
        <w:rPr>
          <w:rFonts w:hint="eastAsia" w:asciiTheme="minorEastAsia" w:hAnsiTheme="minorEastAsia" w:eastAsiaTheme="minorEastAsia" w:cstheme="minorEastAsia"/>
          <w:color w:val="auto"/>
          <w:sz w:val="24"/>
        </w:rPr>
        <w:t>条规定获取招标文件并参加本项目投标的供应商。</w:t>
      </w:r>
    </w:p>
    <w:p w14:paraId="3D70EBA4">
      <w:pPr>
        <w:pStyle w:val="24"/>
        <w:numPr>
          <w:ilvl w:val="1"/>
          <w:numId w:val="7"/>
        </w:numPr>
        <w:tabs>
          <w:tab w:val="left" w:pos="1006"/>
        </w:tabs>
        <w:spacing w:before="0" w:after="0" w:line="328"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“单位负责人”指单位法定代表人或法律、法规规定代表单位行使职权的主要负责人。</w:t>
      </w:r>
    </w:p>
    <w:p w14:paraId="0CC19B59">
      <w:pPr>
        <w:pStyle w:val="24"/>
        <w:numPr>
          <w:ilvl w:val="1"/>
          <w:numId w:val="7"/>
        </w:numPr>
        <w:tabs>
          <w:tab w:val="left" w:pos="1006"/>
        </w:tabs>
        <w:spacing w:before="0" w:after="0" w:line="328" w:lineRule="auto"/>
        <w:ind w:left="220" w:right="580" w:firstLine="480"/>
        <w:jc w:val="left"/>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z w:val="24"/>
        </w:rPr>
        <w:t>“投标人代表”指投标人的单位负责人或“单位负责人授权书”中载明的接受授权方。</w:t>
      </w:r>
      <w:bookmarkStart w:id="23" w:name="二、投标人"/>
      <w:bookmarkEnd w:id="23"/>
    </w:p>
    <w:p w14:paraId="4C6908CD">
      <w:pPr>
        <w:pStyle w:val="6"/>
        <w:spacing w:before="39"/>
        <w:ind w:left="0" w:leftChars="0" w:firstLine="0" w:firstLineChars="0"/>
        <w:jc w:val="center"/>
        <w:rPr>
          <w:rFonts w:hint="eastAsia" w:asciiTheme="minorEastAsia" w:hAnsiTheme="minorEastAsia" w:eastAsiaTheme="minorEastAsia" w:cstheme="minorEastAsia"/>
          <w:b/>
          <w:bCs/>
          <w:color w:val="auto"/>
          <w:lang w:val="en-US" w:eastAsia="zh-CN"/>
        </w:rPr>
      </w:pPr>
      <w:r>
        <w:rPr>
          <w:rFonts w:hint="eastAsia" w:asciiTheme="minorEastAsia" w:hAnsiTheme="minorEastAsia" w:eastAsiaTheme="minorEastAsia" w:cstheme="minorEastAsia"/>
          <w:b/>
          <w:bCs/>
          <w:color w:val="auto"/>
          <w:lang w:val="en-US" w:eastAsia="zh-CN"/>
        </w:rPr>
        <w:t>二、投标人</w:t>
      </w:r>
    </w:p>
    <w:p w14:paraId="1D260EF4">
      <w:pPr>
        <w:pStyle w:val="6"/>
        <w:spacing w:before="39"/>
        <w:ind w:left="0" w:leftChars="0"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lang w:val="en-US" w:eastAsia="zh-CN"/>
        </w:rPr>
        <w:t>3.</w:t>
      </w:r>
      <w:r>
        <w:rPr>
          <w:rFonts w:hint="eastAsia" w:asciiTheme="minorEastAsia" w:hAnsiTheme="minorEastAsia" w:eastAsiaTheme="minorEastAsia" w:cstheme="minorEastAsia"/>
          <w:color w:val="auto"/>
        </w:rPr>
        <w:t>合格投标人</w:t>
      </w:r>
    </w:p>
    <w:p w14:paraId="78AD7941">
      <w:pPr>
        <w:pStyle w:val="24"/>
        <w:numPr>
          <w:ilvl w:val="1"/>
          <w:numId w:val="8"/>
        </w:numPr>
        <w:tabs>
          <w:tab w:val="left" w:pos="1063"/>
        </w:tabs>
        <w:spacing w:before="112"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一般规定</w:t>
      </w:r>
    </w:p>
    <w:p w14:paraId="61396B63">
      <w:pPr>
        <w:pStyle w:val="24"/>
        <w:numPr>
          <w:ilvl w:val="0"/>
          <w:numId w:val="9"/>
        </w:numPr>
        <w:tabs>
          <w:tab w:val="left" w:pos="1304"/>
        </w:tabs>
        <w:spacing w:before="113"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投标人应遵守</w:t>
      </w:r>
      <w:r>
        <w:rPr>
          <w:rFonts w:hint="eastAsia" w:asciiTheme="minorEastAsia" w:hAnsiTheme="minorEastAsia" w:eastAsiaTheme="minorEastAsia" w:cstheme="minorEastAsia"/>
          <w:color w:val="auto"/>
          <w:spacing w:val="-1"/>
          <w:sz w:val="24"/>
          <w:lang w:eastAsia="zh-CN"/>
        </w:rPr>
        <w:t>企业采购</w:t>
      </w:r>
      <w:r>
        <w:rPr>
          <w:rFonts w:hint="eastAsia" w:asciiTheme="minorEastAsia" w:hAnsiTheme="minorEastAsia" w:eastAsiaTheme="minorEastAsia" w:cstheme="minorEastAsia"/>
          <w:color w:val="auto"/>
          <w:spacing w:val="-1"/>
          <w:sz w:val="24"/>
        </w:rPr>
        <w:t>法</w:t>
      </w:r>
      <w:r>
        <w:rPr>
          <w:rFonts w:hint="eastAsia" w:asciiTheme="minorEastAsia" w:hAnsiTheme="minorEastAsia" w:eastAsiaTheme="minorEastAsia" w:cstheme="minorEastAsia"/>
          <w:color w:val="auto"/>
          <w:spacing w:val="-7"/>
          <w:sz w:val="24"/>
        </w:rPr>
        <w:t>，同时还应遵守有关</w:t>
      </w:r>
      <w:r>
        <w:rPr>
          <w:rFonts w:hint="eastAsia" w:asciiTheme="minorEastAsia" w:hAnsiTheme="minorEastAsia" w:eastAsiaTheme="minorEastAsia" w:cstheme="minorEastAsia"/>
          <w:color w:val="auto"/>
          <w:sz w:val="24"/>
        </w:rPr>
        <w:t>法律、法规和规章的强制性规定。</w:t>
      </w:r>
    </w:p>
    <w:p w14:paraId="2BE7E5CB">
      <w:pPr>
        <w:pStyle w:val="24"/>
        <w:numPr>
          <w:ilvl w:val="0"/>
          <w:numId w:val="9"/>
        </w:numPr>
        <w:tabs>
          <w:tab w:val="left" w:pos="1301"/>
        </w:tabs>
        <w:spacing w:before="0" w:after="0" w:line="304" w:lineRule="exact"/>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投标人的资格要求：详见招标文件第一章。</w:t>
      </w:r>
    </w:p>
    <w:p w14:paraId="03AFD60D">
      <w:pPr>
        <w:pStyle w:val="24"/>
        <w:numPr>
          <w:ilvl w:val="1"/>
          <w:numId w:val="8"/>
        </w:numPr>
        <w:tabs>
          <w:tab w:val="left" w:pos="1068"/>
        </w:tabs>
        <w:spacing w:before="112" w:after="0" w:line="240" w:lineRule="auto"/>
        <w:ind w:left="1067" w:right="0" w:hanging="367"/>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2"/>
          <w:sz w:val="24"/>
        </w:rPr>
        <w:t xml:space="preserve">若本项目接受联合体投标且投标人为联合体，则联合体各方应遵守本章第 </w:t>
      </w:r>
      <w:r>
        <w:rPr>
          <w:rFonts w:hint="eastAsia" w:asciiTheme="minorEastAsia" w:hAnsiTheme="minorEastAsia" w:eastAsiaTheme="minorEastAsia" w:cstheme="minorEastAsia"/>
          <w:color w:val="auto"/>
          <w:sz w:val="24"/>
        </w:rPr>
        <w:t>3.1</w:t>
      </w:r>
    </w:p>
    <w:p w14:paraId="6E82421F">
      <w:pPr>
        <w:pStyle w:val="6"/>
        <w:spacing w:before="113"/>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条规定，同时还应遵守下列规定：</w:t>
      </w:r>
    </w:p>
    <w:p w14:paraId="306E0238">
      <w:pPr>
        <w:pStyle w:val="24"/>
        <w:numPr>
          <w:ilvl w:val="0"/>
          <w:numId w:val="10"/>
        </w:numPr>
        <w:tabs>
          <w:tab w:val="left" w:pos="1301"/>
        </w:tabs>
        <w:spacing w:before="112"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联合体各方应提交联合体协议，联合体协议应符合招标文件规定。</w:t>
      </w:r>
    </w:p>
    <w:p w14:paraId="13B1BAF6">
      <w:pPr>
        <w:pStyle w:val="24"/>
        <w:numPr>
          <w:ilvl w:val="0"/>
          <w:numId w:val="10"/>
        </w:numPr>
        <w:tabs>
          <w:tab w:val="left" w:pos="1304"/>
        </w:tabs>
        <w:spacing w:before="113" w:after="0" w:line="328"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联合体各方不得再单独参加或与其他供应商另外组成联合体参加同一合同项</w:t>
      </w:r>
      <w:r>
        <w:rPr>
          <w:rFonts w:hint="eastAsia" w:asciiTheme="minorEastAsia" w:hAnsiTheme="minorEastAsia" w:eastAsiaTheme="minorEastAsia" w:cstheme="minorEastAsia"/>
          <w:color w:val="auto"/>
          <w:sz w:val="24"/>
        </w:rPr>
        <w:t>下的投标。</w:t>
      </w:r>
    </w:p>
    <w:p w14:paraId="44EEA1DA">
      <w:pPr>
        <w:pStyle w:val="24"/>
        <w:numPr>
          <w:ilvl w:val="0"/>
          <w:numId w:val="10"/>
        </w:numPr>
        <w:tabs>
          <w:tab w:val="left" w:pos="1304"/>
        </w:tabs>
        <w:spacing w:before="0" w:after="0" w:line="328"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联合体各方应共同与采购人签订</w:t>
      </w:r>
      <w:r>
        <w:rPr>
          <w:rFonts w:hint="eastAsia" w:asciiTheme="minorEastAsia" w:hAnsiTheme="minorEastAsia" w:eastAsiaTheme="minorEastAsia" w:cstheme="minorEastAsia"/>
          <w:color w:val="auto"/>
          <w:spacing w:val="-1"/>
          <w:sz w:val="24"/>
          <w:lang w:eastAsia="zh-CN"/>
        </w:rPr>
        <w:t>企业采购</w:t>
      </w:r>
      <w:r>
        <w:rPr>
          <w:rFonts w:hint="eastAsia" w:asciiTheme="minorEastAsia" w:hAnsiTheme="minorEastAsia" w:eastAsiaTheme="minorEastAsia" w:cstheme="minorEastAsia"/>
          <w:color w:val="auto"/>
          <w:spacing w:val="-1"/>
          <w:sz w:val="24"/>
        </w:rPr>
        <w:t>合同，就</w:t>
      </w:r>
      <w:r>
        <w:rPr>
          <w:rFonts w:hint="eastAsia" w:asciiTheme="minorEastAsia" w:hAnsiTheme="minorEastAsia" w:eastAsiaTheme="minorEastAsia" w:cstheme="minorEastAsia"/>
          <w:color w:val="auto"/>
          <w:spacing w:val="-1"/>
          <w:sz w:val="24"/>
          <w:lang w:eastAsia="zh-CN"/>
        </w:rPr>
        <w:t>企业采购</w:t>
      </w:r>
      <w:r>
        <w:rPr>
          <w:rFonts w:hint="eastAsia" w:asciiTheme="minorEastAsia" w:hAnsiTheme="minorEastAsia" w:eastAsiaTheme="minorEastAsia" w:cstheme="minorEastAsia"/>
          <w:color w:val="auto"/>
          <w:spacing w:val="-1"/>
          <w:sz w:val="24"/>
        </w:rPr>
        <w:t>合同约定的事项</w:t>
      </w:r>
      <w:r>
        <w:rPr>
          <w:rFonts w:hint="eastAsia" w:asciiTheme="minorEastAsia" w:hAnsiTheme="minorEastAsia" w:eastAsiaTheme="minorEastAsia" w:cstheme="minorEastAsia"/>
          <w:color w:val="auto"/>
          <w:sz w:val="24"/>
        </w:rPr>
        <w:t>对采购人承担连带责任。</w:t>
      </w:r>
    </w:p>
    <w:p w14:paraId="531ACD3B">
      <w:pPr>
        <w:pStyle w:val="24"/>
        <w:numPr>
          <w:ilvl w:val="0"/>
          <w:numId w:val="10"/>
        </w:numPr>
        <w:tabs>
          <w:tab w:val="left" w:pos="1304"/>
        </w:tabs>
        <w:spacing w:before="0"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项目如涉及资质要求，该部分工作内容应由联合体中符合该资质要求的供应</w:t>
      </w:r>
      <w:r>
        <w:rPr>
          <w:rFonts w:hint="eastAsia" w:asciiTheme="minorEastAsia" w:hAnsiTheme="minorEastAsia" w:eastAsiaTheme="minorEastAsia" w:cstheme="minorEastAsia"/>
          <w:color w:val="auto"/>
          <w:spacing w:val="-10"/>
          <w:sz w:val="24"/>
        </w:rPr>
        <w:t>商承担，联合体协议及签订的采购合同应符合这一要求；联合体中有同类资质的供应商</w:t>
      </w:r>
      <w:r>
        <w:rPr>
          <w:rFonts w:hint="eastAsia" w:asciiTheme="minorEastAsia" w:hAnsiTheme="minorEastAsia" w:eastAsiaTheme="minorEastAsia" w:cstheme="minorEastAsia"/>
          <w:color w:val="auto"/>
          <w:sz w:val="24"/>
        </w:rPr>
        <w:t>按照联合体分工承担相同工作的，应当按照资质等级较低的供应商确定资质等级。</w:t>
      </w:r>
    </w:p>
    <w:p w14:paraId="50CDFC61">
      <w:pPr>
        <w:pStyle w:val="24"/>
        <w:numPr>
          <w:ilvl w:val="0"/>
          <w:numId w:val="10"/>
        </w:numPr>
        <w:tabs>
          <w:tab w:val="left" w:pos="1304"/>
        </w:tabs>
        <w:spacing w:before="0" w:after="0" w:line="328"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联合体一方放弃中标的，视为联合体整体放弃中标，联合体各方承担连带责</w:t>
      </w:r>
      <w:r>
        <w:rPr>
          <w:rFonts w:hint="eastAsia" w:asciiTheme="minorEastAsia" w:hAnsiTheme="minorEastAsia" w:eastAsiaTheme="minorEastAsia" w:cstheme="minorEastAsia"/>
          <w:color w:val="auto"/>
          <w:sz w:val="24"/>
        </w:rPr>
        <w:t>任。</w:t>
      </w:r>
    </w:p>
    <w:p w14:paraId="4438E7B2">
      <w:pPr>
        <w:pStyle w:val="24"/>
        <w:numPr>
          <w:ilvl w:val="0"/>
          <w:numId w:val="10"/>
        </w:numPr>
        <w:tabs>
          <w:tab w:val="left" w:pos="1304"/>
        </w:tabs>
        <w:spacing w:before="0" w:after="0" w:line="328"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如本项目不接受联合体投标而投标人为联合体的，或者本项目接受联合体投</w:t>
      </w:r>
      <w:r>
        <w:rPr>
          <w:rFonts w:hint="eastAsia" w:asciiTheme="minorEastAsia" w:hAnsiTheme="minorEastAsia" w:eastAsiaTheme="minorEastAsia" w:cstheme="minorEastAsia"/>
          <w:color w:val="auto"/>
          <w:spacing w:val="-4"/>
          <w:sz w:val="24"/>
        </w:rPr>
        <w:t xml:space="preserve">标但投标人组成的联合体不符合本章第 </w:t>
      </w:r>
      <w:r>
        <w:rPr>
          <w:rFonts w:hint="eastAsia" w:asciiTheme="minorEastAsia" w:hAnsiTheme="minorEastAsia" w:eastAsiaTheme="minorEastAsia" w:cstheme="minorEastAsia"/>
          <w:color w:val="auto"/>
          <w:sz w:val="24"/>
        </w:rPr>
        <w:t>3.2</w:t>
      </w:r>
      <w:r>
        <w:rPr>
          <w:rFonts w:hint="eastAsia" w:asciiTheme="minorEastAsia" w:hAnsiTheme="minorEastAsia" w:eastAsiaTheme="minorEastAsia" w:cstheme="minorEastAsia"/>
          <w:color w:val="auto"/>
          <w:spacing w:val="4"/>
          <w:sz w:val="24"/>
        </w:rPr>
        <w:t xml:space="preserve"> </w:t>
      </w:r>
      <w:r>
        <w:rPr>
          <w:rFonts w:hint="eastAsia" w:asciiTheme="minorEastAsia" w:hAnsiTheme="minorEastAsia" w:eastAsiaTheme="minorEastAsia" w:cstheme="minorEastAsia"/>
          <w:color w:val="auto"/>
          <w:sz w:val="24"/>
        </w:rPr>
        <w:t>条规定的，投标无效。</w:t>
      </w:r>
    </w:p>
    <w:p w14:paraId="353FA276">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4、投标费用</w:t>
      </w:r>
    </w:p>
    <w:p w14:paraId="437D19AB">
      <w:pPr>
        <w:pStyle w:val="6"/>
        <w:spacing w:before="101"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4.1 除招标文件另有规定外，投标人应自行承担其参加本项目投标所涉及的一切费用。</w:t>
      </w:r>
    </w:p>
    <w:p w14:paraId="606A8F9A">
      <w:pPr>
        <w:pStyle w:val="4"/>
        <w:spacing w:line="305" w:lineRule="exact"/>
        <w:ind w:left="700"/>
        <w:rPr>
          <w:rFonts w:hint="eastAsia" w:asciiTheme="minorEastAsia" w:hAnsiTheme="minorEastAsia" w:eastAsiaTheme="minorEastAsia" w:cstheme="minorEastAsia"/>
          <w:color w:val="auto"/>
        </w:rPr>
      </w:pPr>
      <w:bookmarkStart w:id="24" w:name="三、招标"/>
      <w:bookmarkEnd w:id="24"/>
      <w:r>
        <w:rPr>
          <w:rFonts w:hint="eastAsia" w:asciiTheme="minorEastAsia" w:hAnsiTheme="minorEastAsia" w:eastAsiaTheme="minorEastAsia" w:cstheme="minorEastAsia"/>
          <w:color w:val="auto"/>
        </w:rPr>
        <w:t>三、招标</w:t>
      </w:r>
    </w:p>
    <w:p w14:paraId="321FAC3F">
      <w:pPr>
        <w:pStyle w:val="6"/>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5、招标文件</w:t>
      </w:r>
    </w:p>
    <w:p w14:paraId="4EF251D0">
      <w:pPr>
        <w:pStyle w:val="24"/>
        <w:numPr>
          <w:ilvl w:val="1"/>
          <w:numId w:val="11"/>
        </w:numPr>
        <w:tabs>
          <w:tab w:val="left" w:pos="1063"/>
        </w:tabs>
        <w:spacing w:before="113"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招标文件由下述部分组成：</w:t>
      </w:r>
    </w:p>
    <w:p w14:paraId="205871F0">
      <w:pPr>
        <w:pStyle w:val="24"/>
        <w:numPr>
          <w:ilvl w:val="0"/>
          <w:numId w:val="0"/>
        </w:numPr>
        <w:tabs>
          <w:tab w:val="left" w:pos="1301"/>
        </w:tabs>
        <w:spacing w:before="112" w:after="0" w:line="240" w:lineRule="auto"/>
        <w:ind w:leftChars="0"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投标邀请</w:t>
      </w:r>
    </w:p>
    <w:p w14:paraId="0213825F">
      <w:pPr>
        <w:pStyle w:val="24"/>
        <w:numPr>
          <w:ilvl w:val="0"/>
          <w:numId w:val="0"/>
        </w:numPr>
        <w:tabs>
          <w:tab w:val="left" w:pos="1301"/>
        </w:tabs>
        <w:spacing w:before="113" w:after="0" w:line="240" w:lineRule="auto"/>
        <w:ind w:leftChars="0"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2</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投标人须知前附表（</w:t>
      </w:r>
      <w:r>
        <w:rPr>
          <w:rFonts w:hint="eastAsia" w:asciiTheme="minorEastAsia" w:hAnsiTheme="minorEastAsia" w:eastAsiaTheme="minorEastAsia" w:cstheme="minorEastAsia"/>
          <w:color w:val="auto"/>
          <w:spacing w:val="-30"/>
          <w:sz w:val="24"/>
        </w:rPr>
        <w:t xml:space="preserve">表 </w:t>
      </w:r>
      <w:r>
        <w:rPr>
          <w:rFonts w:hint="eastAsia" w:asciiTheme="minorEastAsia" w:hAnsiTheme="minorEastAsia" w:eastAsiaTheme="minorEastAsia" w:cstheme="minorEastAsia"/>
          <w:color w:val="auto"/>
          <w:sz w:val="24"/>
        </w:rPr>
        <w:t>1）</w:t>
      </w:r>
    </w:p>
    <w:p w14:paraId="1A51FE3C">
      <w:pPr>
        <w:pStyle w:val="24"/>
        <w:numPr>
          <w:ilvl w:val="0"/>
          <w:numId w:val="0"/>
        </w:numPr>
        <w:tabs>
          <w:tab w:val="left" w:pos="1301"/>
        </w:tabs>
        <w:spacing w:before="112" w:after="0" w:line="240" w:lineRule="auto"/>
        <w:ind w:leftChars="0"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3</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投标人须知</w:t>
      </w:r>
    </w:p>
    <w:p w14:paraId="1DCF69F9">
      <w:pPr>
        <w:pStyle w:val="24"/>
        <w:numPr>
          <w:ilvl w:val="0"/>
          <w:numId w:val="0"/>
        </w:numPr>
        <w:tabs>
          <w:tab w:val="left" w:pos="1301"/>
        </w:tabs>
        <w:spacing w:before="113" w:after="0" w:line="240" w:lineRule="auto"/>
        <w:ind w:leftChars="0"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4</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资格审查与评标</w:t>
      </w:r>
    </w:p>
    <w:p w14:paraId="5BAF0ECE">
      <w:pPr>
        <w:pStyle w:val="24"/>
        <w:numPr>
          <w:ilvl w:val="0"/>
          <w:numId w:val="0"/>
        </w:numPr>
        <w:tabs>
          <w:tab w:val="left" w:pos="1301"/>
        </w:tabs>
        <w:spacing w:before="112" w:after="0" w:line="240" w:lineRule="auto"/>
        <w:ind w:leftChars="0"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5</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招标内容及要求</w:t>
      </w:r>
    </w:p>
    <w:p w14:paraId="337AABD0">
      <w:pPr>
        <w:pStyle w:val="24"/>
        <w:numPr>
          <w:ilvl w:val="0"/>
          <w:numId w:val="0"/>
        </w:numPr>
        <w:tabs>
          <w:tab w:val="left" w:pos="1301"/>
        </w:tabs>
        <w:spacing w:before="113" w:after="0" w:line="240" w:lineRule="auto"/>
        <w:ind w:leftChars="0"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6</w:t>
      </w:r>
      <w:r>
        <w:rPr>
          <w:rFonts w:hint="eastAsia" w:asciiTheme="minorEastAsia" w:hAnsiTheme="minorEastAsia" w:eastAsiaTheme="minorEastAsia" w:cstheme="minorEastAsia"/>
          <w:color w:val="auto"/>
          <w:sz w:val="24"/>
          <w:lang w:eastAsia="zh-CN"/>
        </w:rPr>
        <w:t>）企业采购</w:t>
      </w:r>
      <w:r>
        <w:rPr>
          <w:rFonts w:hint="eastAsia" w:asciiTheme="minorEastAsia" w:hAnsiTheme="minorEastAsia" w:eastAsiaTheme="minorEastAsia" w:cstheme="minorEastAsia"/>
          <w:color w:val="auto"/>
          <w:sz w:val="24"/>
        </w:rPr>
        <w:t>合同（参考文本）</w:t>
      </w:r>
    </w:p>
    <w:p w14:paraId="288E2070">
      <w:pPr>
        <w:pStyle w:val="24"/>
        <w:numPr>
          <w:ilvl w:val="0"/>
          <w:numId w:val="0"/>
        </w:numPr>
        <w:tabs>
          <w:tab w:val="left" w:pos="1301"/>
        </w:tabs>
        <w:spacing w:before="112" w:after="0" w:line="240" w:lineRule="auto"/>
        <w:ind w:leftChars="0"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7</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投标文件格式</w:t>
      </w:r>
    </w:p>
    <w:p w14:paraId="01E17473">
      <w:pPr>
        <w:pStyle w:val="24"/>
        <w:numPr>
          <w:ilvl w:val="0"/>
          <w:numId w:val="0"/>
        </w:numPr>
        <w:tabs>
          <w:tab w:val="left" w:pos="1301"/>
        </w:tabs>
        <w:spacing w:before="112" w:after="0" w:line="240" w:lineRule="auto"/>
        <w:ind w:leftChars="0" w:right="0" w:rightChars="0" w:firstLine="480" w:firstLineChars="2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lang w:val="en-US" w:eastAsia="zh-CN"/>
        </w:rPr>
        <w:t>8</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按照招标文件规定作为招标文件组成部分的其他内容（若有）</w:t>
      </w:r>
    </w:p>
    <w:p w14:paraId="46FB846E">
      <w:pPr>
        <w:pStyle w:val="24"/>
        <w:numPr>
          <w:ilvl w:val="1"/>
          <w:numId w:val="11"/>
        </w:numPr>
        <w:tabs>
          <w:tab w:val="left" w:pos="1063"/>
        </w:tabs>
        <w:spacing w:before="112"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招标文件的澄清或修改</w:t>
      </w:r>
    </w:p>
    <w:p w14:paraId="16547F6D">
      <w:pPr>
        <w:pStyle w:val="24"/>
        <w:numPr>
          <w:ilvl w:val="0"/>
          <w:numId w:val="12"/>
        </w:numPr>
        <w:tabs>
          <w:tab w:val="left" w:pos="1304"/>
        </w:tabs>
        <w:spacing w:before="113" w:after="0" w:line="328"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eastAsia="zh-CN"/>
        </w:rPr>
        <w:t>锐驰项目管理有限公司</w:t>
      </w:r>
      <w:r>
        <w:rPr>
          <w:rFonts w:hint="eastAsia" w:asciiTheme="minorEastAsia" w:hAnsiTheme="minorEastAsia" w:eastAsiaTheme="minorEastAsia" w:cstheme="minorEastAsia"/>
          <w:color w:val="auto"/>
          <w:spacing w:val="-1"/>
          <w:sz w:val="24"/>
        </w:rPr>
        <w:t xml:space="preserve">可对已发出的招标文件进行必要的澄清或修改， </w:t>
      </w:r>
      <w:r>
        <w:rPr>
          <w:rFonts w:hint="eastAsia" w:asciiTheme="minorEastAsia" w:hAnsiTheme="minorEastAsia" w:eastAsiaTheme="minorEastAsia" w:cstheme="minorEastAsia"/>
          <w:color w:val="auto"/>
          <w:sz w:val="24"/>
        </w:rPr>
        <w:t>但不得对招标文件载明的采购标的和投标人的资格要求进行改变。</w:t>
      </w:r>
    </w:p>
    <w:p w14:paraId="2F1C9A0E">
      <w:pPr>
        <w:pStyle w:val="24"/>
        <w:numPr>
          <w:ilvl w:val="0"/>
          <w:numId w:val="12"/>
        </w:numPr>
        <w:tabs>
          <w:tab w:val="left" w:pos="1301"/>
        </w:tabs>
        <w:spacing w:before="0" w:after="0" w:line="305" w:lineRule="exact"/>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2"/>
          <w:sz w:val="24"/>
        </w:rPr>
        <w:t xml:space="preserve">除本章第 </w:t>
      </w:r>
      <w:r>
        <w:rPr>
          <w:rFonts w:hint="eastAsia" w:asciiTheme="minorEastAsia" w:hAnsiTheme="minorEastAsia" w:eastAsiaTheme="minorEastAsia" w:cstheme="minorEastAsia"/>
          <w:color w:val="auto"/>
          <w:sz w:val="24"/>
        </w:rPr>
        <w:t>5.2</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pacing w:val="-5"/>
          <w:sz w:val="24"/>
        </w:rPr>
        <w:t>条第（3）</w:t>
      </w:r>
      <w:r>
        <w:rPr>
          <w:rFonts w:hint="eastAsia" w:asciiTheme="minorEastAsia" w:hAnsiTheme="minorEastAsia" w:eastAsiaTheme="minorEastAsia" w:cstheme="minorEastAsia"/>
          <w:color w:val="auto"/>
          <w:spacing w:val="-2"/>
          <w:sz w:val="24"/>
        </w:rPr>
        <w:t>款规定情形外，澄清或修改的内容可能影响投标文件</w:t>
      </w:r>
    </w:p>
    <w:p w14:paraId="48088E6A">
      <w:pPr>
        <w:pStyle w:val="6"/>
        <w:spacing w:before="11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编制的，</w:t>
      </w:r>
      <w:r>
        <w:rPr>
          <w:rFonts w:hint="eastAsia" w:asciiTheme="minorEastAsia" w:hAnsiTheme="minorEastAsia" w:eastAsiaTheme="minorEastAsia" w:cstheme="minorEastAsia"/>
          <w:color w:val="auto"/>
          <w:lang w:eastAsia="zh-CN"/>
        </w:rPr>
        <w:t>锐驰项目管理有限公司</w:t>
      </w:r>
      <w:r>
        <w:rPr>
          <w:rFonts w:hint="eastAsia" w:asciiTheme="minorEastAsia" w:hAnsiTheme="minorEastAsia" w:eastAsiaTheme="minorEastAsia" w:cstheme="minorEastAsia"/>
          <w:color w:val="auto"/>
        </w:rPr>
        <w:t>将在投标截止时间至少 15 个日历日前，在招标文</w:t>
      </w:r>
    </w:p>
    <w:p w14:paraId="597969AD">
      <w:pPr>
        <w:pStyle w:val="6"/>
        <w:spacing w:before="113" w:line="328" w:lineRule="auto"/>
        <w:ind w:right="577"/>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2"/>
        </w:rPr>
        <w:t xml:space="preserve">件载明的指定媒体以更正公告的形式发布澄清或修改的内容。不足 </w:t>
      </w:r>
      <w:r>
        <w:rPr>
          <w:rFonts w:hint="eastAsia" w:asciiTheme="minorEastAsia" w:hAnsiTheme="minorEastAsia" w:eastAsiaTheme="minorEastAsia" w:cstheme="minorEastAsia"/>
          <w:color w:val="auto"/>
        </w:rPr>
        <w:t xml:space="preserve">15 </w:t>
      </w:r>
      <w:r>
        <w:rPr>
          <w:rFonts w:hint="eastAsia" w:asciiTheme="minorEastAsia" w:hAnsiTheme="minorEastAsia" w:eastAsiaTheme="minorEastAsia" w:cstheme="minorEastAsia"/>
          <w:color w:val="auto"/>
          <w:spacing w:val="-2"/>
        </w:rPr>
        <w:t>个日历日的，</w:t>
      </w:r>
      <w:r>
        <w:rPr>
          <w:rFonts w:hint="eastAsia" w:asciiTheme="minorEastAsia" w:hAnsiTheme="minorEastAsia" w:eastAsiaTheme="minorEastAsia" w:cstheme="minorEastAsia"/>
          <w:color w:val="auto"/>
          <w:spacing w:val="-2"/>
          <w:lang w:eastAsia="zh-CN"/>
        </w:rPr>
        <w:t>锐驰项目管理有限公司</w:t>
      </w:r>
      <w:r>
        <w:rPr>
          <w:rFonts w:hint="eastAsia" w:asciiTheme="minorEastAsia" w:hAnsiTheme="minorEastAsia" w:eastAsiaTheme="minorEastAsia" w:cstheme="minorEastAsia"/>
          <w:color w:val="auto"/>
          <w:spacing w:val="-5"/>
        </w:rPr>
        <w:t>将顺延投标截止时间及开标时间，</w:t>
      </w:r>
      <w:r>
        <w:rPr>
          <w:rFonts w:hint="eastAsia" w:asciiTheme="minorEastAsia" w:hAnsiTheme="minorEastAsia" w:eastAsiaTheme="minorEastAsia" w:cstheme="minorEastAsia"/>
          <w:color w:val="auto"/>
          <w:spacing w:val="-5"/>
          <w:lang w:eastAsia="zh-CN"/>
        </w:rPr>
        <w:t>锐驰项目管理有限公司</w:t>
      </w:r>
      <w:r>
        <w:rPr>
          <w:rFonts w:hint="eastAsia" w:asciiTheme="minorEastAsia" w:hAnsiTheme="minorEastAsia" w:eastAsiaTheme="minorEastAsia" w:cstheme="minorEastAsia"/>
          <w:color w:val="auto"/>
        </w:rPr>
        <w:t>和投标人受原投标截止时间及开标时间制约的所有权利和义务均延长至新的投标截止时间及开标时间。</w:t>
      </w:r>
    </w:p>
    <w:p w14:paraId="3A0459BB">
      <w:pPr>
        <w:pStyle w:val="24"/>
        <w:numPr>
          <w:ilvl w:val="0"/>
          <w:numId w:val="12"/>
        </w:numPr>
        <w:tabs>
          <w:tab w:val="left" w:pos="1301"/>
        </w:tabs>
        <w:spacing w:before="0" w:after="0" w:line="328" w:lineRule="auto"/>
        <w:ind w:left="220" w:right="45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澄清或修改的内容可能改变招标文件载明的采购标的和投标人的资格要求的</w:t>
      </w:r>
      <w:r>
        <w:rPr>
          <w:rFonts w:hint="eastAsia" w:asciiTheme="minorEastAsia" w:hAnsiTheme="minorEastAsia" w:eastAsiaTheme="minorEastAsia" w:cstheme="minorEastAsia"/>
          <w:color w:val="auto"/>
          <w:spacing w:val="-11"/>
          <w:sz w:val="24"/>
        </w:rPr>
        <w:t>，本次采购活动结束，</w:t>
      </w:r>
      <w:r>
        <w:rPr>
          <w:rFonts w:hint="eastAsia" w:asciiTheme="minorEastAsia" w:hAnsiTheme="minorEastAsia" w:eastAsiaTheme="minorEastAsia" w:cstheme="minorEastAsia"/>
          <w:color w:val="auto"/>
          <w:spacing w:val="-11"/>
          <w:sz w:val="24"/>
          <w:lang w:eastAsia="zh-CN"/>
        </w:rPr>
        <w:t>锐驰项目管理有限公司</w:t>
      </w:r>
      <w:r>
        <w:rPr>
          <w:rFonts w:hint="eastAsia" w:asciiTheme="minorEastAsia" w:hAnsiTheme="minorEastAsia" w:eastAsiaTheme="minorEastAsia" w:cstheme="minorEastAsia"/>
          <w:color w:val="auto"/>
          <w:spacing w:val="-11"/>
          <w:sz w:val="24"/>
        </w:rPr>
        <w:t>将依法组织后续采购活动</w:t>
      </w:r>
      <w:r>
        <w:rPr>
          <w:rFonts w:hint="eastAsia" w:asciiTheme="minorEastAsia" w:hAnsiTheme="minorEastAsia" w:eastAsiaTheme="minorEastAsia" w:cstheme="minorEastAsia"/>
          <w:color w:val="auto"/>
          <w:sz w:val="24"/>
        </w:rPr>
        <w:t>（包括但不限于：重新招标、采用其他方式采购等）。</w:t>
      </w:r>
    </w:p>
    <w:p w14:paraId="6E8F12F1">
      <w:pPr>
        <w:pStyle w:val="6"/>
        <w:spacing w:line="304"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6、现场考察或开标前答疑会</w:t>
      </w:r>
    </w:p>
    <w:p w14:paraId="05A96EAC">
      <w:pPr>
        <w:pStyle w:val="6"/>
        <w:spacing w:before="107"/>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6.1 是否组织现场考察或召开开标前答疑会：详见招标文件第二章。</w:t>
      </w:r>
    </w:p>
    <w:p w14:paraId="7D27689C">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7、更正公告</w:t>
      </w:r>
    </w:p>
    <w:p w14:paraId="28D6D3F0">
      <w:pPr>
        <w:pStyle w:val="24"/>
        <w:numPr>
          <w:ilvl w:val="1"/>
          <w:numId w:val="13"/>
        </w:numPr>
        <w:tabs>
          <w:tab w:val="left" w:pos="1065"/>
        </w:tabs>
        <w:spacing w:before="112"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若</w:t>
      </w:r>
      <w:r>
        <w:rPr>
          <w:rFonts w:hint="eastAsia" w:asciiTheme="minorEastAsia" w:hAnsiTheme="minorEastAsia" w:eastAsiaTheme="minorEastAsia" w:cstheme="minorEastAsia"/>
          <w:color w:val="auto"/>
          <w:spacing w:val="-1"/>
          <w:sz w:val="24"/>
          <w:lang w:eastAsia="zh-CN"/>
        </w:rPr>
        <w:t>锐驰项目管理有限公司</w:t>
      </w:r>
      <w:r>
        <w:rPr>
          <w:rFonts w:hint="eastAsia" w:asciiTheme="minorEastAsia" w:hAnsiTheme="minorEastAsia" w:eastAsiaTheme="minorEastAsia" w:cstheme="minorEastAsia"/>
          <w:color w:val="auto"/>
          <w:spacing w:val="-1"/>
          <w:sz w:val="24"/>
        </w:rPr>
        <w:t>发布更正公告，则更正公告及其所发布的内容或</w:t>
      </w:r>
      <w:r>
        <w:rPr>
          <w:rFonts w:hint="eastAsia" w:asciiTheme="minorEastAsia" w:hAnsiTheme="minorEastAsia" w:eastAsiaTheme="minorEastAsia" w:cstheme="minorEastAsia"/>
          <w:color w:val="auto"/>
          <w:spacing w:val="-12"/>
          <w:sz w:val="24"/>
        </w:rPr>
        <w:t>信息</w:t>
      </w:r>
      <w:r>
        <w:rPr>
          <w:rFonts w:hint="eastAsia" w:asciiTheme="minorEastAsia" w:hAnsiTheme="minorEastAsia" w:eastAsiaTheme="minorEastAsia" w:cstheme="minorEastAsia"/>
          <w:color w:val="auto"/>
          <w:sz w:val="24"/>
        </w:rPr>
        <w:t>（</w:t>
      </w:r>
      <w:r>
        <w:rPr>
          <w:rFonts w:hint="eastAsia" w:asciiTheme="minorEastAsia" w:hAnsiTheme="minorEastAsia" w:eastAsiaTheme="minorEastAsia" w:cstheme="minorEastAsia"/>
          <w:color w:val="auto"/>
          <w:spacing w:val="-6"/>
          <w:sz w:val="24"/>
        </w:rPr>
        <w:t>包括但不限于：招标文件的澄清或修改、现场考察或答疑会的有关事宜等</w:t>
      </w:r>
      <w:r>
        <w:rPr>
          <w:rFonts w:hint="eastAsia" w:asciiTheme="minorEastAsia" w:hAnsiTheme="minorEastAsia" w:eastAsiaTheme="minorEastAsia" w:cstheme="minorEastAsia"/>
          <w:color w:val="auto"/>
          <w:spacing w:val="-22"/>
          <w:sz w:val="24"/>
        </w:rPr>
        <w:t>）</w:t>
      </w:r>
      <w:r>
        <w:rPr>
          <w:rFonts w:hint="eastAsia" w:asciiTheme="minorEastAsia" w:hAnsiTheme="minorEastAsia" w:eastAsiaTheme="minorEastAsia" w:cstheme="minorEastAsia"/>
          <w:color w:val="auto"/>
          <w:spacing w:val="-9"/>
          <w:sz w:val="24"/>
        </w:rPr>
        <w:t>作为</w:t>
      </w:r>
      <w:r>
        <w:rPr>
          <w:rFonts w:hint="eastAsia" w:asciiTheme="minorEastAsia" w:hAnsiTheme="minorEastAsia" w:eastAsiaTheme="minorEastAsia" w:cstheme="minorEastAsia"/>
          <w:color w:val="auto"/>
          <w:sz w:val="24"/>
        </w:rPr>
        <w:t>招标文件组成部分，对投标人具有约束力。</w:t>
      </w:r>
    </w:p>
    <w:p w14:paraId="1CC5D45D">
      <w:pPr>
        <w:pStyle w:val="24"/>
        <w:numPr>
          <w:ilvl w:val="1"/>
          <w:numId w:val="13"/>
        </w:numPr>
        <w:tabs>
          <w:tab w:val="left" w:pos="1063"/>
        </w:tabs>
        <w:spacing w:before="0" w:after="0" w:line="304" w:lineRule="exact"/>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更正公告作为</w:t>
      </w:r>
      <w:r>
        <w:rPr>
          <w:rFonts w:hint="eastAsia" w:asciiTheme="minorEastAsia" w:hAnsiTheme="minorEastAsia" w:eastAsiaTheme="minorEastAsia" w:cstheme="minorEastAsia"/>
          <w:color w:val="auto"/>
          <w:sz w:val="24"/>
          <w:lang w:eastAsia="zh-CN"/>
        </w:rPr>
        <w:t>锐驰项目管理有限公司</w:t>
      </w:r>
      <w:r>
        <w:rPr>
          <w:rFonts w:hint="eastAsia" w:asciiTheme="minorEastAsia" w:hAnsiTheme="minorEastAsia" w:eastAsiaTheme="minorEastAsia" w:cstheme="minorEastAsia"/>
          <w:color w:val="auto"/>
          <w:sz w:val="24"/>
        </w:rPr>
        <w:t>通知所有潜在投标人的书面形式。</w:t>
      </w:r>
    </w:p>
    <w:p w14:paraId="5FB6FCCE">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8、终止公告</w:t>
      </w:r>
    </w:p>
    <w:p w14:paraId="00A347B0">
      <w:pPr>
        <w:pStyle w:val="24"/>
        <w:numPr>
          <w:ilvl w:val="1"/>
          <w:numId w:val="14"/>
        </w:numPr>
        <w:tabs>
          <w:tab w:val="left" w:pos="1065"/>
        </w:tabs>
        <w:spacing w:before="112" w:after="0" w:line="328"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若出现因重大变故导致采购任务取消情形，</w:t>
      </w:r>
      <w:r>
        <w:rPr>
          <w:rFonts w:hint="eastAsia" w:asciiTheme="minorEastAsia" w:hAnsiTheme="minorEastAsia" w:eastAsiaTheme="minorEastAsia" w:cstheme="minorEastAsia"/>
          <w:color w:val="auto"/>
          <w:spacing w:val="-1"/>
          <w:sz w:val="24"/>
          <w:lang w:eastAsia="zh-CN"/>
        </w:rPr>
        <w:t>锐驰项目管理有限公司</w:t>
      </w:r>
      <w:r>
        <w:rPr>
          <w:rFonts w:hint="eastAsia" w:asciiTheme="minorEastAsia" w:hAnsiTheme="minorEastAsia" w:eastAsiaTheme="minorEastAsia" w:cstheme="minorEastAsia"/>
          <w:color w:val="auto"/>
          <w:spacing w:val="-1"/>
          <w:sz w:val="24"/>
        </w:rPr>
        <w:t>可终止</w:t>
      </w:r>
      <w:r>
        <w:rPr>
          <w:rFonts w:hint="eastAsia" w:asciiTheme="minorEastAsia" w:hAnsiTheme="minorEastAsia" w:eastAsiaTheme="minorEastAsia" w:cstheme="minorEastAsia"/>
          <w:color w:val="auto"/>
          <w:sz w:val="24"/>
        </w:rPr>
        <w:t>招标并发布终止公告。</w:t>
      </w:r>
    </w:p>
    <w:p w14:paraId="6CE172EA">
      <w:pPr>
        <w:pStyle w:val="24"/>
        <w:numPr>
          <w:ilvl w:val="1"/>
          <w:numId w:val="14"/>
        </w:numPr>
        <w:tabs>
          <w:tab w:val="left" w:pos="1063"/>
        </w:tabs>
        <w:spacing w:before="0" w:after="0" w:line="328" w:lineRule="auto"/>
        <w:ind w:left="700" w:right="841" w:firstLine="0"/>
        <w:jc w:val="left"/>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color w:val="auto"/>
          <w:spacing w:val="-1"/>
          <w:sz w:val="24"/>
        </w:rPr>
        <w:t>终止公告作为</w:t>
      </w:r>
      <w:r>
        <w:rPr>
          <w:rFonts w:hint="eastAsia" w:asciiTheme="minorEastAsia" w:hAnsiTheme="minorEastAsia" w:eastAsiaTheme="minorEastAsia" w:cstheme="minorEastAsia"/>
          <w:color w:val="auto"/>
          <w:spacing w:val="-1"/>
          <w:sz w:val="24"/>
          <w:lang w:eastAsia="zh-CN"/>
        </w:rPr>
        <w:t>锐驰项目管理有限公司</w:t>
      </w:r>
      <w:r>
        <w:rPr>
          <w:rFonts w:hint="eastAsia" w:asciiTheme="minorEastAsia" w:hAnsiTheme="minorEastAsia" w:eastAsiaTheme="minorEastAsia" w:cstheme="minorEastAsia"/>
          <w:color w:val="auto"/>
          <w:spacing w:val="-1"/>
          <w:sz w:val="24"/>
        </w:rPr>
        <w:t>通知所有潜在投标人的书面形式。</w:t>
      </w:r>
      <w:bookmarkStart w:id="25" w:name="四、投标"/>
      <w:bookmarkEnd w:id="25"/>
    </w:p>
    <w:p w14:paraId="506D2C67">
      <w:pPr>
        <w:pStyle w:val="24"/>
        <w:numPr>
          <w:ilvl w:val="0"/>
          <w:numId w:val="0"/>
        </w:numPr>
        <w:tabs>
          <w:tab w:val="left" w:pos="1063"/>
        </w:tabs>
        <w:spacing w:before="0" w:after="0" w:line="328" w:lineRule="auto"/>
        <w:ind w:right="841" w:rightChars="0" w:firstLine="2650" w:firstLineChars="1100"/>
        <w:jc w:val="left"/>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b/>
          <w:color w:val="auto"/>
          <w:sz w:val="24"/>
        </w:rPr>
        <w:t>四、投标</w:t>
      </w:r>
    </w:p>
    <w:p w14:paraId="487EB851">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9、投标</w:t>
      </w:r>
    </w:p>
    <w:p w14:paraId="25AAA43F">
      <w:pPr>
        <w:pStyle w:val="24"/>
        <w:numPr>
          <w:ilvl w:val="1"/>
          <w:numId w:val="15"/>
        </w:numPr>
        <w:tabs>
          <w:tab w:val="left" w:pos="1063"/>
        </w:tabs>
        <w:spacing w:before="110"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投标人可对招标文件载明的全部或部分采购包进行投标。</w:t>
      </w:r>
    </w:p>
    <w:p w14:paraId="1EAC54BD">
      <w:pPr>
        <w:pStyle w:val="24"/>
        <w:numPr>
          <w:ilvl w:val="1"/>
          <w:numId w:val="15"/>
        </w:numPr>
        <w:tabs>
          <w:tab w:val="left" w:pos="1063"/>
        </w:tabs>
        <w:spacing w:before="113"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投标人应对同一个采购包内的所有内容进行完整投标，否则投标无效。</w:t>
      </w:r>
    </w:p>
    <w:p w14:paraId="37E99779">
      <w:pPr>
        <w:pStyle w:val="24"/>
        <w:numPr>
          <w:ilvl w:val="1"/>
          <w:numId w:val="15"/>
        </w:numPr>
        <w:tabs>
          <w:tab w:val="left" w:pos="1063"/>
        </w:tabs>
        <w:spacing w:before="112"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投标人代表只能接受一个投标人的授权参加投标，否则投标无效。</w:t>
      </w:r>
    </w:p>
    <w:p w14:paraId="335BFEA0">
      <w:pPr>
        <w:pStyle w:val="24"/>
        <w:numPr>
          <w:ilvl w:val="1"/>
          <w:numId w:val="15"/>
        </w:numPr>
        <w:tabs>
          <w:tab w:val="left" w:pos="1065"/>
        </w:tabs>
        <w:spacing w:before="113" w:after="0" w:line="328"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单位负责人为同一人或存在直接控股、管理关系的不同供应商，不得同时参加</w:t>
      </w:r>
      <w:r>
        <w:rPr>
          <w:rFonts w:hint="eastAsia" w:asciiTheme="minorEastAsia" w:hAnsiTheme="minorEastAsia" w:eastAsiaTheme="minorEastAsia" w:cstheme="minorEastAsia"/>
          <w:color w:val="auto"/>
          <w:sz w:val="24"/>
        </w:rPr>
        <w:t>同一合同项下的投标，否则投标无效。</w:t>
      </w:r>
    </w:p>
    <w:p w14:paraId="4FCEB6DE">
      <w:pPr>
        <w:pStyle w:val="24"/>
        <w:numPr>
          <w:ilvl w:val="1"/>
          <w:numId w:val="15"/>
        </w:numPr>
        <w:tabs>
          <w:tab w:val="left" w:pos="1065"/>
        </w:tabs>
        <w:spacing w:before="39" w:after="0" w:line="328" w:lineRule="auto"/>
        <w:ind w:left="220" w:right="485"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 xml:space="preserve">为本项目提供整体设计、规范编制或项目管理、监理、检测等服务的供应商， </w:t>
      </w:r>
      <w:r>
        <w:rPr>
          <w:rFonts w:hint="eastAsia" w:asciiTheme="minorEastAsia" w:hAnsiTheme="minorEastAsia" w:eastAsiaTheme="minorEastAsia" w:cstheme="minorEastAsia"/>
          <w:color w:val="auto"/>
          <w:spacing w:val="-1"/>
          <w:sz w:val="24"/>
        </w:rPr>
        <w:t xml:space="preserve">不得参加本项目除整体设计、规范编制和项目管理、监理、检测等服务外的采购活动， </w:t>
      </w:r>
      <w:r>
        <w:rPr>
          <w:rFonts w:hint="eastAsia" w:asciiTheme="minorEastAsia" w:hAnsiTheme="minorEastAsia" w:eastAsiaTheme="minorEastAsia" w:cstheme="minorEastAsia"/>
          <w:color w:val="auto"/>
          <w:sz w:val="24"/>
        </w:rPr>
        <w:t>否则投标无效。</w:t>
      </w:r>
    </w:p>
    <w:p w14:paraId="208BD906">
      <w:pPr>
        <w:pStyle w:val="24"/>
        <w:numPr>
          <w:ilvl w:val="1"/>
          <w:numId w:val="15"/>
        </w:numPr>
        <w:tabs>
          <w:tab w:val="left" w:pos="1065"/>
        </w:tabs>
        <w:spacing w:before="0"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列入失信被执行人、重大税收违法案件当事人名单、政府采购严重违法失信行</w:t>
      </w:r>
      <w:r>
        <w:rPr>
          <w:rFonts w:hint="eastAsia" w:asciiTheme="minorEastAsia" w:hAnsiTheme="minorEastAsia" w:eastAsiaTheme="minorEastAsia" w:cstheme="minorEastAsia"/>
          <w:color w:val="auto"/>
          <w:spacing w:val="-5"/>
          <w:sz w:val="24"/>
        </w:rPr>
        <w:t>为记录名单及其他不符合政府采购法第二十二条规定条件的供应商，不得参加投标，否</w:t>
      </w:r>
      <w:r>
        <w:rPr>
          <w:rFonts w:hint="eastAsia" w:asciiTheme="minorEastAsia" w:hAnsiTheme="minorEastAsia" w:eastAsiaTheme="minorEastAsia" w:cstheme="minorEastAsia"/>
          <w:color w:val="auto"/>
          <w:sz w:val="24"/>
        </w:rPr>
        <w:t>则投标无效。</w:t>
      </w:r>
    </w:p>
    <w:p w14:paraId="5C41FFD2">
      <w:pPr>
        <w:pStyle w:val="24"/>
        <w:numPr>
          <w:ilvl w:val="1"/>
          <w:numId w:val="15"/>
        </w:numPr>
        <w:tabs>
          <w:tab w:val="left" w:pos="1063"/>
        </w:tabs>
        <w:spacing w:before="0" w:after="0" w:line="304" w:lineRule="exact"/>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有下列情形之一的，视为投标人串通投标，其投标无效：</w:t>
      </w:r>
    </w:p>
    <w:p w14:paraId="0C5EBAAB">
      <w:pPr>
        <w:pStyle w:val="24"/>
        <w:numPr>
          <w:ilvl w:val="0"/>
          <w:numId w:val="16"/>
        </w:numPr>
        <w:tabs>
          <w:tab w:val="left" w:pos="1301"/>
        </w:tabs>
        <w:spacing w:before="108"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不同投标人的投标文件由同一单位或个人编制；</w:t>
      </w:r>
    </w:p>
    <w:p w14:paraId="59F3A3E4">
      <w:pPr>
        <w:pStyle w:val="24"/>
        <w:numPr>
          <w:ilvl w:val="0"/>
          <w:numId w:val="16"/>
        </w:numPr>
        <w:tabs>
          <w:tab w:val="left" w:pos="1301"/>
        </w:tabs>
        <w:spacing w:before="113"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不同投标人委托同一单位或个人办理投标事宜；</w:t>
      </w:r>
    </w:p>
    <w:p w14:paraId="4C0B234D">
      <w:pPr>
        <w:pStyle w:val="24"/>
        <w:numPr>
          <w:ilvl w:val="0"/>
          <w:numId w:val="16"/>
        </w:numPr>
        <w:tabs>
          <w:tab w:val="left" w:pos="1301"/>
        </w:tabs>
        <w:spacing w:before="112"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不同投标人的投标文件载明的项目管理成员或联系人员为同一人；</w:t>
      </w:r>
    </w:p>
    <w:p w14:paraId="384DA2CC">
      <w:pPr>
        <w:pStyle w:val="24"/>
        <w:numPr>
          <w:ilvl w:val="0"/>
          <w:numId w:val="16"/>
        </w:numPr>
        <w:tabs>
          <w:tab w:val="left" w:pos="1301"/>
        </w:tabs>
        <w:spacing w:before="113"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不同投标人的投标文件异常一致或投标报价呈规律性差异；</w:t>
      </w:r>
    </w:p>
    <w:p w14:paraId="481A67AC">
      <w:pPr>
        <w:pStyle w:val="24"/>
        <w:numPr>
          <w:ilvl w:val="0"/>
          <w:numId w:val="16"/>
        </w:numPr>
        <w:tabs>
          <w:tab w:val="left" w:pos="1301"/>
        </w:tabs>
        <w:spacing w:before="112"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不同投标人的投标文件相互混装；</w:t>
      </w:r>
    </w:p>
    <w:p w14:paraId="6F565D84">
      <w:pPr>
        <w:pStyle w:val="24"/>
        <w:numPr>
          <w:ilvl w:val="0"/>
          <w:numId w:val="16"/>
        </w:numPr>
        <w:tabs>
          <w:tab w:val="left" w:pos="1301"/>
        </w:tabs>
        <w:spacing w:before="113"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不同投标人的投标保证金从同一单位或个人的账户转出；</w:t>
      </w:r>
    </w:p>
    <w:p w14:paraId="33C3C9CA">
      <w:pPr>
        <w:pStyle w:val="24"/>
        <w:numPr>
          <w:ilvl w:val="0"/>
          <w:numId w:val="16"/>
        </w:numPr>
        <w:tabs>
          <w:tab w:val="left" w:pos="1301"/>
        </w:tabs>
        <w:spacing w:before="112"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有关法律、法规和规章及招标文件规定的其他串通投标情形。</w:t>
      </w:r>
    </w:p>
    <w:p w14:paraId="2899CC06">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10、投标文件</w:t>
      </w:r>
    </w:p>
    <w:p w14:paraId="2F4A77C3">
      <w:pPr>
        <w:pStyle w:val="24"/>
        <w:numPr>
          <w:ilvl w:val="1"/>
          <w:numId w:val="17"/>
        </w:numPr>
        <w:tabs>
          <w:tab w:val="left" w:pos="1185"/>
        </w:tabs>
        <w:spacing w:before="112" w:after="0" w:line="240" w:lineRule="auto"/>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投标文件的编制</w:t>
      </w:r>
    </w:p>
    <w:p w14:paraId="6385DBC8">
      <w:pPr>
        <w:pStyle w:val="24"/>
        <w:numPr>
          <w:ilvl w:val="0"/>
          <w:numId w:val="18"/>
        </w:numPr>
        <w:tabs>
          <w:tab w:val="left" w:pos="1301"/>
        </w:tabs>
        <w:spacing w:before="113"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投标人应先仔细阅读招标文件的全部内容后，再进行投标文件的编制。</w:t>
      </w:r>
    </w:p>
    <w:p w14:paraId="51839571">
      <w:pPr>
        <w:pStyle w:val="24"/>
        <w:numPr>
          <w:ilvl w:val="0"/>
          <w:numId w:val="18"/>
        </w:numPr>
        <w:tabs>
          <w:tab w:val="left" w:pos="1301"/>
        </w:tabs>
        <w:spacing w:before="112"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rPr>
        <w:t xml:space="preserve">投标文件应按照本章第 </w:t>
      </w:r>
      <w:r>
        <w:rPr>
          <w:rFonts w:hint="eastAsia" w:asciiTheme="minorEastAsia" w:hAnsiTheme="minorEastAsia" w:eastAsiaTheme="minorEastAsia" w:cstheme="minorEastAsia"/>
          <w:color w:val="auto"/>
          <w:sz w:val="24"/>
        </w:rPr>
        <w:t>10.2</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z w:val="24"/>
        </w:rPr>
        <w:t>条规定编制其组成部分。</w:t>
      </w:r>
    </w:p>
    <w:p w14:paraId="484074F2">
      <w:pPr>
        <w:pStyle w:val="24"/>
        <w:numPr>
          <w:ilvl w:val="0"/>
          <w:numId w:val="18"/>
        </w:numPr>
        <w:tabs>
          <w:tab w:val="left" w:pos="1304"/>
        </w:tabs>
        <w:spacing w:before="113"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投标文件应满足招标文件提出的实质性要求和条件，并保证其所提交的全部</w:t>
      </w:r>
      <w:r>
        <w:rPr>
          <w:rFonts w:hint="eastAsia" w:asciiTheme="minorEastAsia" w:hAnsiTheme="minorEastAsia" w:eastAsiaTheme="minorEastAsia" w:cstheme="minorEastAsia"/>
          <w:color w:val="auto"/>
          <w:spacing w:val="-9"/>
          <w:sz w:val="24"/>
        </w:rPr>
        <w:t>资料是不可割离且真实、有效、准确、完整和不具有任何误导性的，否则造成不利后果</w:t>
      </w:r>
      <w:r>
        <w:rPr>
          <w:rFonts w:hint="eastAsia" w:asciiTheme="minorEastAsia" w:hAnsiTheme="minorEastAsia" w:eastAsiaTheme="minorEastAsia" w:cstheme="minorEastAsia"/>
          <w:color w:val="auto"/>
          <w:sz w:val="24"/>
        </w:rPr>
        <w:t>由投标人承担责任。</w:t>
      </w:r>
    </w:p>
    <w:p w14:paraId="3C2BC516">
      <w:pPr>
        <w:pStyle w:val="24"/>
        <w:numPr>
          <w:ilvl w:val="1"/>
          <w:numId w:val="17"/>
        </w:numPr>
        <w:tabs>
          <w:tab w:val="left" w:pos="1185"/>
        </w:tabs>
        <w:spacing w:before="0" w:after="0" w:line="304" w:lineRule="exact"/>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投标文件由下述部分组成：</w:t>
      </w:r>
    </w:p>
    <w:p w14:paraId="0B955C75">
      <w:pPr>
        <w:pStyle w:val="24"/>
        <w:numPr>
          <w:ilvl w:val="0"/>
          <w:numId w:val="19"/>
        </w:numPr>
        <w:tabs>
          <w:tab w:val="left" w:pos="1301"/>
        </w:tabs>
        <w:spacing w:before="112"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资格及资信证明部分</w:t>
      </w:r>
    </w:p>
    <w:p w14:paraId="500CB8BD">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①投标函</w:t>
      </w:r>
    </w:p>
    <w:p w14:paraId="28FBC79C">
      <w:pPr>
        <w:pStyle w:val="6"/>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②投标人的资格及资信证明文件</w:t>
      </w:r>
    </w:p>
    <w:p w14:paraId="4C6483AB">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③投标保证金</w:t>
      </w:r>
    </w:p>
    <w:p w14:paraId="4B3D7D7D">
      <w:pPr>
        <w:pStyle w:val="24"/>
        <w:numPr>
          <w:ilvl w:val="0"/>
          <w:numId w:val="19"/>
        </w:numPr>
        <w:tabs>
          <w:tab w:val="left" w:pos="1301"/>
        </w:tabs>
        <w:spacing w:before="112"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报价部分</w:t>
      </w:r>
    </w:p>
    <w:p w14:paraId="5F2C145C">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①开标一览表</w:t>
      </w:r>
    </w:p>
    <w:p w14:paraId="318620BF">
      <w:pPr>
        <w:pStyle w:val="6"/>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②投标分项报价表</w:t>
      </w:r>
    </w:p>
    <w:p w14:paraId="4D10492C">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③招标文件规定的价格扣除证明材料（若有）</w:t>
      </w:r>
    </w:p>
    <w:p w14:paraId="1864B471">
      <w:pPr>
        <w:pStyle w:val="6"/>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④招标文件规定的加分证明材料（若有）</w:t>
      </w:r>
    </w:p>
    <w:p w14:paraId="3D9EE79B">
      <w:pPr>
        <w:pStyle w:val="24"/>
        <w:numPr>
          <w:ilvl w:val="0"/>
          <w:numId w:val="19"/>
        </w:numPr>
        <w:tabs>
          <w:tab w:val="left" w:pos="1301"/>
        </w:tabs>
        <w:spacing w:before="113"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技术商务部分</w:t>
      </w:r>
    </w:p>
    <w:p w14:paraId="4902DBBD">
      <w:pPr>
        <w:pStyle w:val="6"/>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①标的说明一览表</w:t>
      </w:r>
    </w:p>
    <w:p w14:paraId="4E2E1E3A">
      <w:pPr>
        <w:pStyle w:val="6"/>
        <w:spacing w:before="39"/>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②技术和服务要求响应表</w:t>
      </w:r>
    </w:p>
    <w:p w14:paraId="5EF46655">
      <w:pPr>
        <w:pStyle w:val="6"/>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③商务条件响应表</w:t>
      </w:r>
    </w:p>
    <w:p w14:paraId="53252B60">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④投标人提交的其他资料（若有）</w:t>
      </w:r>
    </w:p>
    <w:p w14:paraId="1FE27539">
      <w:pPr>
        <w:pStyle w:val="6"/>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⑤招标文件规定作为投标文件组成部分的其他内容（若有）</w:t>
      </w:r>
    </w:p>
    <w:p w14:paraId="25FE3A62">
      <w:pPr>
        <w:pStyle w:val="24"/>
        <w:numPr>
          <w:ilvl w:val="1"/>
          <w:numId w:val="17"/>
        </w:numPr>
        <w:tabs>
          <w:tab w:val="left" w:pos="1185"/>
        </w:tabs>
        <w:spacing w:before="113" w:after="0" w:line="240" w:lineRule="auto"/>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投标文件的语言</w:t>
      </w:r>
    </w:p>
    <w:p w14:paraId="0F0072B8">
      <w:pPr>
        <w:pStyle w:val="24"/>
        <w:numPr>
          <w:ilvl w:val="0"/>
          <w:numId w:val="20"/>
        </w:numPr>
        <w:tabs>
          <w:tab w:val="left" w:pos="1304"/>
        </w:tabs>
        <w:spacing w:before="112" w:after="0" w:line="328"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除招标文件另有规定外，投标文件应使用中文文本，若有不同文本，以中文</w:t>
      </w:r>
      <w:r>
        <w:rPr>
          <w:rFonts w:hint="eastAsia" w:asciiTheme="minorEastAsia" w:hAnsiTheme="minorEastAsia" w:eastAsiaTheme="minorEastAsia" w:cstheme="minorEastAsia"/>
          <w:color w:val="auto"/>
          <w:sz w:val="24"/>
        </w:rPr>
        <w:t>文本为准。</w:t>
      </w:r>
    </w:p>
    <w:p w14:paraId="17E4E9CB">
      <w:pPr>
        <w:pStyle w:val="24"/>
        <w:numPr>
          <w:ilvl w:val="0"/>
          <w:numId w:val="20"/>
        </w:numPr>
        <w:tabs>
          <w:tab w:val="left" w:pos="1304"/>
        </w:tabs>
        <w:spacing w:before="0"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投标文件提供的全部资料中，若原件属于非中文描述，应提供具有翻译资质</w:t>
      </w:r>
      <w:r>
        <w:rPr>
          <w:rFonts w:hint="eastAsia" w:asciiTheme="minorEastAsia" w:hAnsiTheme="minorEastAsia" w:eastAsiaTheme="minorEastAsia" w:cstheme="minorEastAsia"/>
          <w:color w:val="auto"/>
          <w:spacing w:val="-8"/>
          <w:sz w:val="24"/>
        </w:rPr>
        <w:t>的机构翻译的中文译本。前述翻译机构应为中国翻译协会成员单位，翻译的中文译本应</w:t>
      </w:r>
      <w:r>
        <w:rPr>
          <w:rFonts w:hint="eastAsia" w:asciiTheme="minorEastAsia" w:hAnsiTheme="minorEastAsia" w:eastAsiaTheme="minorEastAsia" w:cstheme="minorEastAsia"/>
          <w:color w:val="auto"/>
          <w:spacing w:val="-5"/>
          <w:sz w:val="24"/>
        </w:rPr>
        <w:t>由翻译人员签名并加盖翻译机构公章，同时提供翻译人员翻译资格证书。中文译本、翻</w:t>
      </w:r>
      <w:r>
        <w:rPr>
          <w:rFonts w:hint="eastAsia" w:asciiTheme="minorEastAsia" w:hAnsiTheme="minorEastAsia" w:eastAsiaTheme="minorEastAsia" w:cstheme="minorEastAsia"/>
          <w:color w:val="auto"/>
          <w:sz w:val="24"/>
        </w:rPr>
        <w:t>译机构的成员单位证书及翻译人员的资格证书可为复印件。</w:t>
      </w:r>
    </w:p>
    <w:p w14:paraId="6C278737">
      <w:pPr>
        <w:pStyle w:val="24"/>
        <w:numPr>
          <w:ilvl w:val="1"/>
          <w:numId w:val="17"/>
        </w:numPr>
        <w:tabs>
          <w:tab w:val="left" w:pos="1185"/>
        </w:tabs>
        <w:spacing w:before="0" w:after="0" w:line="302" w:lineRule="exact"/>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投标文件的份数：详见招标文件第二章。</w:t>
      </w:r>
    </w:p>
    <w:p w14:paraId="42DB7847">
      <w:pPr>
        <w:pStyle w:val="24"/>
        <w:numPr>
          <w:ilvl w:val="1"/>
          <w:numId w:val="17"/>
        </w:numPr>
        <w:tabs>
          <w:tab w:val="left" w:pos="1185"/>
        </w:tabs>
        <w:spacing w:before="110" w:after="0" w:line="240" w:lineRule="auto"/>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投标文件的格式</w:t>
      </w:r>
    </w:p>
    <w:p w14:paraId="488211AE">
      <w:pPr>
        <w:pStyle w:val="24"/>
        <w:numPr>
          <w:ilvl w:val="0"/>
          <w:numId w:val="21"/>
        </w:numPr>
        <w:tabs>
          <w:tab w:val="left" w:pos="1301"/>
        </w:tabs>
        <w:spacing w:before="113"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除招标文件另有规定外，投标文件应使用招标文件第七章规定的格式。</w:t>
      </w:r>
    </w:p>
    <w:p w14:paraId="6082DF7D">
      <w:pPr>
        <w:pStyle w:val="24"/>
        <w:numPr>
          <w:ilvl w:val="0"/>
          <w:numId w:val="21"/>
        </w:numPr>
        <w:tabs>
          <w:tab w:val="left" w:pos="1304"/>
        </w:tabs>
        <w:spacing w:before="112" w:after="0" w:line="328"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除招标文件另有规定外，投标文件应使用不能擦去的墨料或墨水打印、书写</w:t>
      </w:r>
      <w:r>
        <w:rPr>
          <w:rFonts w:hint="eastAsia" w:asciiTheme="minorEastAsia" w:hAnsiTheme="minorEastAsia" w:eastAsiaTheme="minorEastAsia" w:cstheme="minorEastAsia"/>
          <w:color w:val="auto"/>
          <w:sz w:val="24"/>
        </w:rPr>
        <w:t>或复印。</w:t>
      </w:r>
    </w:p>
    <w:p w14:paraId="3E990688">
      <w:pPr>
        <w:pStyle w:val="24"/>
        <w:numPr>
          <w:ilvl w:val="0"/>
          <w:numId w:val="21"/>
        </w:numPr>
        <w:tabs>
          <w:tab w:val="left" w:pos="1301"/>
        </w:tabs>
        <w:spacing w:before="0" w:after="0" w:line="305" w:lineRule="exact"/>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除招标文件另有规定外，投标文件应使用人民币作为计量货币。</w:t>
      </w:r>
    </w:p>
    <w:p w14:paraId="0F7964CD">
      <w:pPr>
        <w:pStyle w:val="24"/>
        <w:numPr>
          <w:ilvl w:val="0"/>
          <w:numId w:val="21"/>
        </w:numPr>
        <w:tabs>
          <w:tab w:val="left" w:pos="1301"/>
        </w:tabs>
        <w:spacing w:before="113"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除招标文件另有规定外，签署、盖章应遵守下列规定：</w:t>
      </w:r>
    </w:p>
    <w:p w14:paraId="56CD45D9">
      <w:pPr>
        <w:pStyle w:val="6"/>
        <w:spacing w:before="112"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①投标文件应加盖投标人的单位公章。若投标人代表为单位授权的委托代理人，应</w:t>
      </w:r>
      <w:r>
        <w:rPr>
          <w:rFonts w:hint="eastAsia" w:asciiTheme="minorEastAsia" w:hAnsiTheme="minorEastAsia" w:eastAsiaTheme="minorEastAsia" w:cstheme="minorEastAsia"/>
          <w:color w:val="auto"/>
        </w:rPr>
        <w:t>提供“单位授权书”。</w:t>
      </w:r>
    </w:p>
    <w:p w14:paraId="67183200">
      <w:pPr>
        <w:pStyle w:val="6"/>
        <w:spacing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7"/>
        </w:rPr>
        <w:t>②投标文件应没有涂改或行间插字，除非这些改动是根据</w:t>
      </w:r>
      <w:r>
        <w:rPr>
          <w:rFonts w:hint="eastAsia" w:asciiTheme="minorEastAsia" w:hAnsiTheme="minorEastAsia" w:eastAsiaTheme="minorEastAsia" w:cstheme="minorEastAsia"/>
          <w:color w:val="auto"/>
          <w:spacing w:val="-7"/>
          <w:lang w:eastAsia="zh-CN"/>
        </w:rPr>
        <w:t>锐驰项目管理有限公司</w:t>
      </w:r>
      <w:r>
        <w:rPr>
          <w:rFonts w:hint="eastAsia" w:asciiTheme="minorEastAsia" w:hAnsiTheme="minorEastAsia" w:eastAsiaTheme="minorEastAsia" w:cstheme="minorEastAsia"/>
          <w:color w:val="auto"/>
          <w:spacing w:val="-7"/>
        </w:rPr>
        <w:t>的指示进行的，或是为改正投标人造成的应修改的错误而进行的。若有前述改动，应</w:t>
      </w:r>
      <w:r>
        <w:rPr>
          <w:rFonts w:hint="eastAsia" w:asciiTheme="minorEastAsia" w:hAnsiTheme="minorEastAsia" w:eastAsiaTheme="minorEastAsia" w:cstheme="minorEastAsia"/>
          <w:color w:val="auto"/>
        </w:rPr>
        <w:t>按照下列规定之一对改动处进行处理：</w:t>
      </w:r>
    </w:p>
    <w:p w14:paraId="6228966C">
      <w:pPr>
        <w:pStyle w:val="24"/>
        <w:numPr>
          <w:ilvl w:val="0"/>
          <w:numId w:val="22"/>
        </w:numPr>
        <w:tabs>
          <w:tab w:val="left" w:pos="877"/>
        </w:tabs>
        <w:spacing w:before="0" w:after="0" w:line="304" w:lineRule="exact"/>
        <w:ind w:left="876" w:right="0" w:hanging="176"/>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投标人代表签字确认；</w:t>
      </w:r>
    </w:p>
    <w:p w14:paraId="6362BF07">
      <w:pPr>
        <w:pStyle w:val="24"/>
        <w:numPr>
          <w:ilvl w:val="0"/>
          <w:numId w:val="22"/>
        </w:numPr>
        <w:tabs>
          <w:tab w:val="left" w:pos="889"/>
        </w:tabs>
        <w:spacing w:before="110" w:after="0" w:line="240" w:lineRule="auto"/>
        <w:ind w:left="888" w:right="0" w:hanging="188"/>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加盖投标人的单位公章或校正章。</w:t>
      </w:r>
    </w:p>
    <w:p w14:paraId="5E868B3A">
      <w:pPr>
        <w:pStyle w:val="24"/>
        <w:numPr>
          <w:ilvl w:val="1"/>
          <w:numId w:val="17"/>
        </w:numPr>
        <w:tabs>
          <w:tab w:val="left" w:pos="1185"/>
        </w:tabs>
        <w:spacing w:before="113" w:after="0" w:line="240" w:lineRule="auto"/>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投标报价</w:t>
      </w:r>
    </w:p>
    <w:p w14:paraId="64B02D38">
      <w:pPr>
        <w:pStyle w:val="24"/>
        <w:numPr>
          <w:ilvl w:val="0"/>
          <w:numId w:val="23"/>
        </w:numPr>
        <w:tabs>
          <w:tab w:val="left" w:pos="1301"/>
        </w:tabs>
        <w:spacing w:before="112"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投标报价超出最高限价将导致投标无效。</w:t>
      </w:r>
    </w:p>
    <w:p w14:paraId="3952C5EE">
      <w:pPr>
        <w:pStyle w:val="24"/>
        <w:numPr>
          <w:ilvl w:val="0"/>
          <w:numId w:val="23"/>
        </w:numPr>
        <w:tabs>
          <w:tab w:val="left" w:pos="1304"/>
        </w:tabs>
        <w:spacing w:before="113" w:after="0" w:line="328"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最高限价由采购人根据价格测算情况，在预算金额的额度内合理设定。最高</w:t>
      </w:r>
      <w:r>
        <w:rPr>
          <w:rFonts w:hint="eastAsia" w:asciiTheme="minorEastAsia" w:hAnsiTheme="minorEastAsia" w:eastAsiaTheme="minorEastAsia" w:cstheme="minorEastAsia"/>
          <w:color w:val="auto"/>
          <w:sz w:val="24"/>
        </w:rPr>
        <w:t>限价不得超出预算金额。</w:t>
      </w:r>
    </w:p>
    <w:p w14:paraId="7C42AE32">
      <w:pPr>
        <w:pStyle w:val="24"/>
        <w:numPr>
          <w:ilvl w:val="0"/>
          <w:numId w:val="23"/>
        </w:numPr>
        <w:tabs>
          <w:tab w:val="left" w:pos="1304"/>
        </w:tabs>
        <w:spacing w:before="0"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除招标文件另有规定外，投标文件不能出现任何选择性的投标报价，即每一</w:t>
      </w:r>
      <w:r>
        <w:rPr>
          <w:rFonts w:hint="eastAsia" w:asciiTheme="minorEastAsia" w:hAnsiTheme="minorEastAsia" w:eastAsiaTheme="minorEastAsia" w:cstheme="minorEastAsia"/>
          <w:color w:val="auto"/>
          <w:spacing w:val="-5"/>
          <w:sz w:val="24"/>
        </w:rPr>
        <w:t>个采购包和品目号的采购标的都只能有一个投标报价。任何选择性的投标报价将导致投</w:t>
      </w:r>
      <w:r>
        <w:rPr>
          <w:rFonts w:hint="eastAsia" w:asciiTheme="minorEastAsia" w:hAnsiTheme="minorEastAsia" w:eastAsiaTheme="minorEastAsia" w:cstheme="minorEastAsia"/>
          <w:color w:val="auto"/>
          <w:sz w:val="24"/>
        </w:rPr>
        <w:t>标无效。</w:t>
      </w:r>
    </w:p>
    <w:p w14:paraId="1C9971C8">
      <w:pPr>
        <w:pStyle w:val="24"/>
        <w:numPr>
          <w:ilvl w:val="1"/>
          <w:numId w:val="17"/>
        </w:numPr>
        <w:tabs>
          <w:tab w:val="left" w:pos="1185"/>
        </w:tabs>
        <w:spacing w:before="0" w:after="0" w:line="304" w:lineRule="exact"/>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分包</w:t>
      </w:r>
    </w:p>
    <w:p w14:paraId="525EB9D2">
      <w:pPr>
        <w:pStyle w:val="24"/>
        <w:numPr>
          <w:ilvl w:val="0"/>
          <w:numId w:val="24"/>
        </w:numPr>
        <w:tabs>
          <w:tab w:val="left" w:pos="1304"/>
        </w:tabs>
        <w:spacing w:before="39" w:after="0" w:line="328"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是否允许中标人将本项目的非主体、非关键性工作进行分包：详见招标文件</w:t>
      </w:r>
      <w:r>
        <w:rPr>
          <w:rFonts w:hint="eastAsia" w:asciiTheme="minorEastAsia" w:hAnsiTheme="minorEastAsia" w:eastAsiaTheme="minorEastAsia" w:cstheme="minorEastAsia"/>
          <w:color w:val="auto"/>
          <w:sz w:val="24"/>
        </w:rPr>
        <w:t>第二章。</w:t>
      </w:r>
    </w:p>
    <w:p w14:paraId="68B241B3">
      <w:pPr>
        <w:pStyle w:val="24"/>
        <w:numPr>
          <w:ilvl w:val="0"/>
          <w:numId w:val="24"/>
        </w:numPr>
        <w:tabs>
          <w:tab w:val="left" w:pos="1304"/>
        </w:tabs>
        <w:spacing w:before="0"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若允许中标人将本项目的非主体、非关键性工作进行分包且投标人拟在中标</w:t>
      </w:r>
      <w:r>
        <w:rPr>
          <w:rFonts w:hint="eastAsia" w:asciiTheme="minorEastAsia" w:hAnsiTheme="minorEastAsia" w:eastAsiaTheme="minorEastAsia" w:cstheme="minorEastAsia"/>
          <w:color w:val="auto"/>
          <w:spacing w:val="-10"/>
          <w:sz w:val="24"/>
        </w:rPr>
        <w:t>后进行分包，则应在投标文件中提供分包意向协议，同时投标人应在投标文件中载明分</w:t>
      </w:r>
      <w:r>
        <w:rPr>
          <w:rFonts w:hint="eastAsia" w:asciiTheme="minorEastAsia" w:hAnsiTheme="minorEastAsia" w:eastAsiaTheme="minorEastAsia" w:cstheme="minorEastAsia"/>
          <w:color w:val="auto"/>
          <w:sz w:val="24"/>
        </w:rPr>
        <w:t>包承担主体，分包承担主体应具备相应资质条件（若有）且不得再次分包。</w:t>
      </w:r>
    </w:p>
    <w:p w14:paraId="13F5D04F">
      <w:pPr>
        <w:pStyle w:val="24"/>
        <w:numPr>
          <w:ilvl w:val="0"/>
          <w:numId w:val="24"/>
        </w:numPr>
        <w:tabs>
          <w:tab w:val="left" w:pos="1304"/>
        </w:tabs>
        <w:spacing w:before="0" w:after="0" w:line="328"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招标文件允许中标人将非主体、非关键性工作进行分包的项目，有下列情形</w:t>
      </w:r>
      <w:r>
        <w:rPr>
          <w:rFonts w:hint="eastAsia" w:asciiTheme="minorEastAsia" w:hAnsiTheme="minorEastAsia" w:eastAsiaTheme="minorEastAsia" w:cstheme="minorEastAsia"/>
          <w:color w:val="auto"/>
          <w:sz w:val="24"/>
        </w:rPr>
        <w:t>之一的，中标人不得分包：</w:t>
      </w:r>
    </w:p>
    <w:p w14:paraId="66119030">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①投标文件中未载明分包承担主体；</w:t>
      </w:r>
    </w:p>
    <w:p w14:paraId="0A008335">
      <w:pPr>
        <w:pStyle w:val="6"/>
        <w:spacing w:before="106"/>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②投标文件载明的分包承担主体不具备相应资质条件；</w:t>
      </w:r>
    </w:p>
    <w:p w14:paraId="251D7814">
      <w:pPr>
        <w:pStyle w:val="6"/>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③投标文件载明的分包承担主体拟再次分包；</w:t>
      </w:r>
    </w:p>
    <w:p w14:paraId="2AFC722E">
      <w:pPr>
        <w:pStyle w:val="6"/>
        <w:spacing w:before="113"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④享受中小企业扶持政策获得政府采购合同的，小微企业不得将合同分包给大中型</w:t>
      </w:r>
      <w:r>
        <w:rPr>
          <w:rFonts w:hint="eastAsia" w:asciiTheme="minorEastAsia" w:hAnsiTheme="minorEastAsia" w:eastAsiaTheme="minorEastAsia" w:cstheme="minorEastAsia"/>
          <w:color w:val="auto"/>
        </w:rPr>
        <w:t>企业，中型企业不得将合同分包给大型企业。</w:t>
      </w:r>
    </w:p>
    <w:p w14:paraId="01C07D76">
      <w:pPr>
        <w:pStyle w:val="24"/>
        <w:numPr>
          <w:ilvl w:val="1"/>
          <w:numId w:val="17"/>
        </w:numPr>
        <w:tabs>
          <w:tab w:val="left" w:pos="1185"/>
        </w:tabs>
        <w:spacing w:before="0" w:after="0" w:line="305" w:lineRule="exact"/>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投标有效期</w:t>
      </w:r>
    </w:p>
    <w:p w14:paraId="5FAE6EF0">
      <w:pPr>
        <w:pStyle w:val="24"/>
        <w:numPr>
          <w:ilvl w:val="0"/>
          <w:numId w:val="25"/>
        </w:numPr>
        <w:tabs>
          <w:tab w:val="left" w:pos="1301"/>
        </w:tabs>
        <w:spacing w:before="112"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招标文件载明的投标有效期：详见招标文件第二章。</w:t>
      </w:r>
    </w:p>
    <w:p w14:paraId="08C6D10A">
      <w:pPr>
        <w:pStyle w:val="24"/>
        <w:numPr>
          <w:ilvl w:val="0"/>
          <w:numId w:val="25"/>
        </w:numPr>
        <w:tabs>
          <w:tab w:val="left" w:pos="1304"/>
        </w:tabs>
        <w:spacing w:before="113" w:after="0" w:line="328"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投标文件承诺的投标有效期不得少于招标文件载明的投标有效期，否则投标</w:t>
      </w:r>
      <w:r>
        <w:rPr>
          <w:rFonts w:hint="eastAsia" w:asciiTheme="minorEastAsia" w:hAnsiTheme="minorEastAsia" w:eastAsiaTheme="minorEastAsia" w:cstheme="minorEastAsia"/>
          <w:color w:val="auto"/>
          <w:sz w:val="24"/>
        </w:rPr>
        <w:t>无效。</w:t>
      </w:r>
    </w:p>
    <w:p w14:paraId="400E5C9A">
      <w:pPr>
        <w:pStyle w:val="24"/>
        <w:numPr>
          <w:ilvl w:val="0"/>
          <w:numId w:val="25"/>
        </w:numPr>
        <w:tabs>
          <w:tab w:val="left" w:pos="1304"/>
        </w:tabs>
        <w:spacing w:before="0" w:after="0" w:line="328" w:lineRule="auto"/>
        <w:ind w:left="220" w:right="485"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根据本次采购活动的需要，</w:t>
      </w:r>
      <w:r>
        <w:rPr>
          <w:rFonts w:hint="eastAsia" w:asciiTheme="minorEastAsia" w:hAnsiTheme="minorEastAsia" w:eastAsiaTheme="minorEastAsia" w:cstheme="minorEastAsia"/>
          <w:color w:val="auto"/>
          <w:sz w:val="24"/>
          <w:lang w:eastAsia="zh-CN"/>
        </w:rPr>
        <w:t>锐驰项目管理有限公司</w:t>
      </w:r>
      <w:r>
        <w:rPr>
          <w:rFonts w:hint="eastAsia" w:asciiTheme="minorEastAsia" w:hAnsiTheme="minorEastAsia" w:eastAsiaTheme="minorEastAsia" w:cstheme="minorEastAsia"/>
          <w:color w:val="auto"/>
          <w:sz w:val="24"/>
        </w:rPr>
        <w:t>可于投标有效期届满</w:t>
      </w:r>
      <w:r>
        <w:rPr>
          <w:rFonts w:hint="eastAsia" w:asciiTheme="minorEastAsia" w:hAnsiTheme="minorEastAsia" w:eastAsiaTheme="minorEastAsia" w:cstheme="minorEastAsia"/>
          <w:color w:val="auto"/>
          <w:spacing w:val="-6"/>
          <w:sz w:val="24"/>
        </w:rPr>
        <w:t>之前书面要求投标人延长投标有效期，投标人应在</w:t>
      </w:r>
      <w:r>
        <w:rPr>
          <w:rFonts w:hint="eastAsia" w:asciiTheme="minorEastAsia" w:hAnsiTheme="minorEastAsia" w:eastAsiaTheme="minorEastAsia" w:cstheme="minorEastAsia"/>
          <w:color w:val="auto"/>
          <w:spacing w:val="-6"/>
          <w:sz w:val="24"/>
          <w:lang w:eastAsia="zh-CN"/>
        </w:rPr>
        <w:t>锐驰项目管理有限公司</w:t>
      </w:r>
      <w:r>
        <w:rPr>
          <w:rFonts w:hint="eastAsia" w:asciiTheme="minorEastAsia" w:hAnsiTheme="minorEastAsia" w:eastAsiaTheme="minorEastAsia" w:cstheme="minorEastAsia"/>
          <w:color w:val="auto"/>
          <w:spacing w:val="-6"/>
          <w:sz w:val="24"/>
        </w:rPr>
        <w:t>规定的期</w:t>
      </w:r>
      <w:r>
        <w:rPr>
          <w:rFonts w:hint="eastAsia" w:asciiTheme="minorEastAsia" w:hAnsiTheme="minorEastAsia" w:eastAsiaTheme="minorEastAsia" w:cstheme="minorEastAsia"/>
          <w:color w:val="auto"/>
          <w:spacing w:val="-7"/>
          <w:sz w:val="24"/>
        </w:rPr>
        <w:t xml:space="preserve">限内以书面形式予以答复。对于延长投标有效期的要求，投标人可以拒绝也可以接受， </w:t>
      </w:r>
      <w:r>
        <w:rPr>
          <w:rFonts w:hint="eastAsia" w:asciiTheme="minorEastAsia" w:hAnsiTheme="minorEastAsia" w:eastAsiaTheme="minorEastAsia" w:cstheme="minorEastAsia"/>
          <w:color w:val="auto"/>
          <w:spacing w:val="-5"/>
          <w:sz w:val="24"/>
        </w:rPr>
        <w:t>投标人答复不明确或逾期未答复的，均视为拒绝该要求。对于接受延长投标有效期的投标人，既不要求也不允许修改投标文件。</w:t>
      </w:r>
    </w:p>
    <w:p w14:paraId="49DC5883">
      <w:pPr>
        <w:pStyle w:val="24"/>
        <w:numPr>
          <w:ilvl w:val="1"/>
          <w:numId w:val="17"/>
        </w:numPr>
        <w:tabs>
          <w:tab w:val="left" w:pos="1185"/>
        </w:tabs>
        <w:spacing w:before="0" w:after="0" w:line="301" w:lineRule="exact"/>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投标保证金</w:t>
      </w:r>
    </w:p>
    <w:p w14:paraId="64EE6F41">
      <w:pPr>
        <w:pStyle w:val="24"/>
        <w:numPr>
          <w:ilvl w:val="0"/>
          <w:numId w:val="26"/>
        </w:numPr>
        <w:tabs>
          <w:tab w:val="left" w:pos="1304"/>
        </w:tabs>
        <w:spacing w:before="110" w:after="0" w:line="328"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投标保证金作为投标人按照招标文件规定履行相应投标责任、义务的约束及</w:t>
      </w:r>
      <w:r>
        <w:rPr>
          <w:rFonts w:hint="eastAsia" w:asciiTheme="minorEastAsia" w:hAnsiTheme="minorEastAsia" w:eastAsiaTheme="minorEastAsia" w:cstheme="minorEastAsia"/>
          <w:color w:val="auto"/>
          <w:sz w:val="24"/>
        </w:rPr>
        <w:t>担保。</w:t>
      </w:r>
    </w:p>
    <w:p w14:paraId="7039DE97">
      <w:pPr>
        <w:pStyle w:val="24"/>
        <w:numPr>
          <w:ilvl w:val="0"/>
          <w:numId w:val="26"/>
        </w:numPr>
        <w:tabs>
          <w:tab w:val="left" w:pos="1304"/>
        </w:tabs>
        <w:spacing w:before="0" w:after="0" w:line="328"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投标人以电子保函形式提交投标保证金的，保函的有效期应等于或长于投标</w:t>
      </w:r>
      <w:r>
        <w:rPr>
          <w:rFonts w:hint="eastAsia" w:asciiTheme="minorEastAsia" w:hAnsiTheme="minorEastAsia" w:eastAsiaTheme="minorEastAsia" w:cstheme="minorEastAsia"/>
          <w:color w:val="auto"/>
          <w:sz w:val="24"/>
        </w:rPr>
        <w:t>文件承诺的投标有效期，否则投标无效。</w:t>
      </w:r>
    </w:p>
    <w:p w14:paraId="25C0283F">
      <w:pPr>
        <w:pStyle w:val="24"/>
        <w:numPr>
          <w:ilvl w:val="0"/>
          <w:numId w:val="26"/>
        </w:numPr>
        <w:tabs>
          <w:tab w:val="left" w:pos="1301"/>
        </w:tabs>
        <w:spacing w:before="0" w:after="0" w:line="305" w:lineRule="exact"/>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提交</w:t>
      </w:r>
    </w:p>
    <w:p w14:paraId="1AC86530">
      <w:pPr>
        <w:pStyle w:val="6"/>
        <w:spacing w:before="110"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4"/>
        </w:rPr>
        <w:t>①投标人以汇款形式缴纳投标保证金的，应从其银行账户</w:t>
      </w:r>
      <w:r>
        <w:rPr>
          <w:rFonts w:hint="eastAsia" w:asciiTheme="minorEastAsia" w:hAnsiTheme="minorEastAsia" w:eastAsiaTheme="minorEastAsia" w:cstheme="minorEastAsia"/>
          <w:color w:val="auto"/>
        </w:rPr>
        <w:t>（基本存款账户</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spacing w:val="-5"/>
        </w:rPr>
        <w:t>按照下</w:t>
      </w:r>
      <w:r>
        <w:rPr>
          <w:rFonts w:hint="eastAsia" w:asciiTheme="minorEastAsia" w:hAnsiTheme="minorEastAsia" w:eastAsiaTheme="minorEastAsia" w:cstheme="minorEastAsia"/>
          <w:color w:val="auto"/>
          <w:spacing w:val="-10"/>
        </w:rPr>
        <w:t>列方式：公对公转账方式向招标文件载明的投标保证金账户提交投标保证金，具体金额</w:t>
      </w:r>
      <w:r>
        <w:rPr>
          <w:rFonts w:hint="eastAsia" w:asciiTheme="minorEastAsia" w:hAnsiTheme="minorEastAsia" w:eastAsiaTheme="minorEastAsia" w:cstheme="minorEastAsia"/>
          <w:color w:val="auto"/>
        </w:rPr>
        <w:t>详见招标文件第一章。</w:t>
      </w:r>
    </w:p>
    <w:p w14:paraId="0AA47917">
      <w:pPr>
        <w:pStyle w:val="6"/>
        <w:spacing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②</w:t>
      </w:r>
      <w:r>
        <w:rPr>
          <w:rFonts w:hint="eastAsia" w:asciiTheme="minorEastAsia" w:hAnsiTheme="minorEastAsia" w:eastAsiaTheme="minorEastAsia" w:cstheme="minorEastAsia"/>
          <w:color w:val="auto"/>
          <w:lang w:val="en-US"/>
        </w:rPr>
        <w:t>投标人以支票、汇票、本票、保函等非现金形式缴纳或提交投标保证金的，应当在投标截止时间之前将文件（支票或汇票或本票或保函）放入投标文件中，否则视为未提交投标保证金</w:t>
      </w:r>
      <w:r>
        <w:rPr>
          <w:rFonts w:hint="eastAsia" w:asciiTheme="minorEastAsia" w:hAnsiTheme="minorEastAsia" w:eastAsiaTheme="minorEastAsia" w:cstheme="minorEastAsia"/>
          <w:color w:val="auto"/>
        </w:rPr>
        <w:t>。</w:t>
      </w:r>
    </w:p>
    <w:p w14:paraId="74DC417A">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③其他形式：无。</w:t>
      </w:r>
    </w:p>
    <w:p w14:paraId="461473A1">
      <w:pPr>
        <w:pStyle w:val="6"/>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④若本项目接受联合体投标且投标人为联合体，则联合体中的牵头方应按照本章第</w:t>
      </w:r>
    </w:p>
    <w:p w14:paraId="6B96449F">
      <w:pPr>
        <w:pStyle w:val="24"/>
        <w:numPr>
          <w:ilvl w:val="1"/>
          <w:numId w:val="27"/>
        </w:numPr>
        <w:tabs>
          <w:tab w:val="left" w:pos="705"/>
        </w:tabs>
        <w:spacing w:before="113" w:after="0" w:line="240" w:lineRule="auto"/>
        <w:ind w:left="70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条第（3）款第①、②、③点规定提交投标保证金。</w:t>
      </w:r>
    </w:p>
    <w:p w14:paraId="4DA91081">
      <w:pPr>
        <w:pStyle w:val="6"/>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※除招标文件另有规定外，未按照上述规定提交投标保证金将导致资格审查不合格。</w:t>
      </w:r>
    </w:p>
    <w:p w14:paraId="41ECDE1F">
      <w:pPr>
        <w:pStyle w:val="24"/>
        <w:numPr>
          <w:ilvl w:val="0"/>
          <w:numId w:val="26"/>
        </w:numPr>
        <w:tabs>
          <w:tab w:val="left" w:pos="1301"/>
        </w:tabs>
        <w:spacing w:before="113"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退还</w:t>
      </w:r>
    </w:p>
    <w:p w14:paraId="6854DD91">
      <w:pPr>
        <w:pStyle w:val="6"/>
        <w:spacing w:before="112"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5"/>
        </w:rPr>
        <w:t>①在投标截止时间前撤回已提交的投标文件的投标人，其投标保证金将在</w:t>
      </w:r>
      <w:r>
        <w:rPr>
          <w:rFonts w:hint="eastAsia" w:asciiTheme="minorEastAsia" w:hAnsiTheme="minorEastAsia" w:eastAsiaTheme="minorEastAsia" w:cstheme="minorEastAsia"/>
          <w:color w:val="auto"/>
          <w:spacing w:val="-5"/>
          <w:lang w:eastAsia="zh-CN"/>
        </w:rPr>
        <w:t>锐驰项目管理有限公司</w:t>
      </w:r>
      <w:r>
        <w:rPr>
          <w:rFonts w:hint="eastAsia" w:asciiTheme="minorEastAsia" w:hAnsiTheme="minorEastAsia" w:eastAsiaTheme="minorEastAsia" w:cstheme="minorEastAsia"/>
          <w:color w:val="auto"/>
          <w:spacing w:val="-3"/>
        </w:rPr>
        <w:t xml:space="preserve">收到投标人书面撤回通知之日起 </w:t>
      </w:r>
      <w:r>
        <w:rPr>
          <w:rFonts w:hint="eastAsia" w:asciiTheme="minorEastAsia" w:hAnsiTheme="minorEastAsia" w:eastAsiaTheme="minorEastAsia" w:cstheme="minorEastAsia"/>
          <w:color w:val="auto"/>
        </w:rPr>
        <w:t>5 个工作日内退回原账户。</w:t>
      </w:r>
    </w:p>
    <w:p w14:paraId="4CC7597B">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3"/>
        </w:rPr>
        <w:t xml:space="preserve">②未中标人的投标保证金将在中标通知书发出之日起 </w:t>
      </w:r>
      <w:r>
        <w:rPr>
          <w:rFonts w:hint="eastAsia" w:asciiTheme="minorEastAsia" w:hAnsiTheme="minorEastAsia" w:eastAsiaTheme="minorEastAsia" w:cstheme="minorEastAsia"/>
          <w:color w:val="auto"/>
        </w:rPr>
        <w:t>5</w:t>
      </w:r>
      <w:r>
        <w:rPr>
          <w:rFonts w:hint="eastAsia" w:asciiTheme="minorEastAsia" w:hAnsiTheme="minorEastAsia" w:eastAsiaTheme="minorEastAsia" w:cstheme="minorEastAsia"/>
          <w:color w:val="auto"/>
          <w:spacing w:val="4"/>
        </w:rPr>
        <w:t xml:space="preserve"> </w:t>
      </w:r>
      <w:r>
        <w:rPr>
          <w:rFonts w:hint="eastAsia" w:asciiTheme="minorEastAsia" w:hAnsiTheme="minorEastAsia" w:eastAsiaTheme="minorEastAsia" w:cstheme="minorEastAsia"/>
          <w:color w:val="auto"/>
        </w:rPr>
        <w:t>个工作日内退回原账户。</w:t>
      </w:r>
    </w:p>
    <w:p w14:paraId="78F03189">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3"/>
        </w:rPr>
        <w:t>③中标人的投标保证金将在</w:t>
      </w:r>
      <w:r>
        <w:rPr>
          <w:rFonts w:hint="eastAsia" w:asciiTheme="minorEastAsia" w:hAnsiTheme="minorEastAsia" w:eastAsiaTheme="minorEastAsia" w:cstheme="minorEastAsia"/>
          <w:color w:val="auto"/>
          <w:spacing w:val="-3"/>
          <w:lang w:eastAsia="zh-CN"/>
        </w:rPr>
        <w:t>企业采购</w:t>
      </w:r>
      <w:r>
        <w:rPr>
          <w:rFonts w:hint="eastAsia" w:asciiTheme="minorEastAsia" w:hAnsiTheme="minorEastAsia" w:eastAsiaTheme="minorEastAsia" w:cstheme="minorEastAsia"/>
          <w:color w:val="auto"/>
          <w:spacing w:val="-3"/>
        </w:rPr>
        <w:t xml:space="preserve">合同签订之日起 </w:t>
      </w:r>
      <w:r>
        <w:rPr>
          <w:rFonts w:hint="eastAsia" w:asciiTheme="minorEastAsia" w:hAnsiTheme="minorEastAsia" w:eastAsiaTheme="minorEastAsia" w:cstheme="minorEastAsia"/>
          <w:color w:val="auto"/>
        </w:rPr>
        <w:t>5</w:t>
      </w:r>
      <w:r>
        <w:rPr>
          <w:rFonts w:hint="eastAsia" w:asciiTheme="minorEastAsia" w:hAnsiTheme="minorEastAsia" w:eastAsiaTheme="minorEastAsia" w:cstheme="minorEastAsia"/>
          <w:color w:val="auto"/>
          <w:spacing w:val="4"/>
        </w:rPr>
        <w:t xml:space="preserve"> </w:t>
      </w:r>
      <w:r>
        <w:rPr>
          <w:rFonts w:hint="eastAsia" w:asciiTheme="minorEastAsia" w:hAnsiTheme="minorEastAsia" w:eastAsiaTheme="minorEastAsia" w:cstheme="minorEastAsia"/>
          <w:color w:val="auto"/>
        </w:rPr>
        <w:t>个工作日内退回原账户。</w:t>
      </w:r>
    </w:p>
    <w:p w14:paraId="3985F198">
      <w:pPr>
        <w:pStyle w:val="6"/>
        <w:spacing w:before="112"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2"/>
        </w:rPr>
        <w:t>④终止招标的，</w:t>
      </w:r>
      <w:r>
        <w:rPr>
          <w:rFonts w:hint="eastAsia" w:asciiTheme="minorEastAsia" w:hAnsiTheme="minorEastAsia" w:eastAsiaTheme="minorEastAsia" w:cstheme="minorEastAsia"/>
          <w:color w:val="auto"/>
          <w:spacing w:val="-12"/>
          <w:lang w:eastAsia="zh-CN"/>
        </w:rPr>
        <w:t>锐驰项目管理有限公司</w:t>
      </w:r>
      <w:r>
        <w:rPr>
          <w:rFonts w:hint="eastAsia" w:asciiTheme="minorEastAsia" w:hAnsiTheme="minorEastAsia" w:eastAsiaTheme="minorEastAsia" w:cstheme="minorEastAsia"/>
          <w:color w:val="auto"/>
          <w:spacing w:val="-12"/>
        </w:rPr>
        <w:t xml:space="preserve">将在终止公告发布之日起 </w:t>
      </w:r>
      <w:r>
        <w:rPr>
          <w:rFonts w:hint="eastAsia" w:asciiTheme="minorEastAsia" w:hAnsiTheme="minorEastAsia" w:eastAsiaTheme="minorEastAsia" w:cstheme="minorEastAsia"/>
          <w:color w:val="auto"/>
        </w:rPr>
        <w:t xml:space="preserve">5 </w:t>
      </w:r>
      <w:r>
        <w:rPr>
          <w:rFonts w:hint="eastAsia" w:asciiTheme="minorEastAsia" w:hAnsiTheme="minorEastAsia" w:eastAsiaTheme="minorEastAsia" w:cstheme="minorEastAsia"/>
          <w:color w:val="auto"/>
          <w:spacing w:val="-4"/>
        </w:rPr>
        <w:t>个工作日内</w:t>
      </w:r>
      <w:r>
        <w:rPr>
          <w:rFonts w:hint="eastAsia" w:asciiTheme="minorEastAsia" w:hAnsiTheme="minorEastAsia" w:eastAsiaTheme="minorEastAsia" w:cstheme="minorEastAsia"/>
          <w:color w:val="auto"/>
        </w:rPr>
        <w:t>退回已收取的投标保证金及其在银行产生的孳息。</w:t>
      </w:r>
    </w:p>
    <w:p w14:paraId="44BB1F8D">
      <w:pPr>
        <w:pStyle w:val="6"/>
        <w:spacing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7"/>
        </w:rPr>
        <w:t>⑤除招标文件另有规定外，质疑或投诉涉及的投标人，若投标保证金尚未退还，则</w:t>
      </w:r>
      <w:r>
        <w:rPr>
          <w:rFonts w:hint="eastAsia" w:asciiTheme="minorEastAsia" w:hAnsiTheme="minorEastAsia" w:eastAsiaTheme="minorEastAsia" w:cstheme="minorEastAsia"/>
          <w:color w:val="auto"/>
        </w:rPr>
        <w:t>待质疑或投诉处理完毕后不计利息原额退还。</w:t>
      </w:r>
    </w:p>
    <w:p w14:paraId="376E9C08">
      <w:pPr>
        <w:pStyle w:val="6"/>
        <w:spacing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3"/>
        </w:rPr>
        <w:t xml:space="preserve">※本章第 </w:t>
      </w:r>
      <w:r>
        <w:rPr>
          <w:rFonts w:hint="eastAsia" w:asciiTheme="minorEastAsia" w:hAnsiTheme="minorEastAsia" w:eastAsiaTheme="minorEastAsia" w:cstheme="minorEastAsia"/>
          <w:color w:val="auto"/>
        </w:rPr>
        <w:t xml:space="preserve">10.9 </w:t>
      </w:r>
      <w:r>
        <w:rPr>
          <w:rFonts w:hint="eastAsia" w:asciiTheme="minorEastAsia" w:hAnsiTheme="minorEastAsia" w:eastAsiaTheme="minorEastAsia" w:cstheme="minorEastAsia"/>
          <w:color w:val="auto"/>
          <w:spacing w:val="-5"/>
        </w:rPr>
        <w:t>条第</w:t>
      </w:r>
      <w:r>
        <w:rPr>
          <w:rFonts w:hint="eastAsia" w:asciiTheme="minorEastAsia" w:hAnsiTheme="minorEastAsia" w:eastAsiaTheme="minorEastAsia" w:cstheme="minorEastAsia"/>
          <w:color w:val="auto"/>
          <w:spacing w:val="-4"/>
        </w:rPr>
        <w:t>（4）</w:t>
      </w:r>
      <w:r>
        <w:rPr>
          <w:rFonts w:hint="eastAsia" w:asciiTheme="minorEastAsia" w:hAnsiTheme="minorEastAsia" w:eastAsiaTheme="minorEastAsia" w:cstheme="minorEastAsia"/>
          <w:color w:val="auto"/>
          <w:spacing w:val="-6"/>
        </w:rPr>
        <w:t>款第①、②、③点规定的投标保证金退还时限不包括因投</w:t>
      </w:r>
      <w:r>
        <w:rPr>
          <w:rFonts w:hint="eastAsia" w:asciiTheme="minorEastAsia" w:hAnsiTheme="minorEastAsia" w:eastAsiaTheme="minorEastAsia" w:cstheme="minorEastAsia"/>
          <w:color w:val="auto"/>
        </w:rPr>
        <w:t>标人自身原因导致无法及时退还而增加的时间。</w:t>
      </w:r>
    </w:p>
    <w:p w14:paraId="6B3900AA">
      <w:pPr>
        <w:pStyle w:val="24"/>
        <w:numPr>
          <w:ilvl w:val="0"/>
          <w:numId w:val="26"/>
        </w:numPr>
        <w:tabs>
          <w:tab w:val="left" w:pos="1308"/>
        </w:tabs>
        <w:spacing w:before="0"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rPr>
        <w:t xml:space="preserve">若出现本章第 </w:t>
      </w:r>
      <w:r>
        <w:rPr>
          <w:rFonts w:hint="eastAsia" w:asciiTheme="minorEastAsia" w:hAnsiTheme="minorEastAsia" w:eastAsiaTheme="minorEastAsia" w:cstheme="minorEastAsia"/>
          <w:color w:val="auto"/>
          <w:sz w:val="24"/>
        </w:rPr>
        <w:t>10.8</w:t>
      </w:r>
      <w:r>
        <w:rPr>
          <w:rFonts w:hint="eastAsia" w:asciiTheme="minorEastAsia" w:hAnsiTheme="minorEastAsia" w:eastAsiaTheme="minorEastAsia" w:cstheme="minorEastAsia"/>
          <w:color w:val="auto"/>
          <w:spacing w:val="27"/>
          <w:sz w:val="24"/>
        </w:rPr>
        <w:t xml:space="preserve"> </w:t>
      </w:r>
      <w:r>
        <w:rPr>
          <w:rFonts w:hint="eastAsia" w:asciiTheme="minorEastAsia" w:hAnsiTheme="minorEastAsia" w:eastAsiaTheme="minorEastAsia" w:cstheme="minorEastAsia"/>
          <w:color w:val="auto"/>
          <w:sz w:val="24"/>
        </w:rPr>
        <w:t>条第</w:t>
      </w:r>
      <w:r>
        <w:rPr>
          <w:rFonts w:hint="eastAsia" w:asciiTheme="minorEastAsia" w:hAnsiTheme="minorEastAsia" w:eastAsiaTheme="minorEastAsia" w:cstheme="minorEastAsia"/>
          <w:color w:val="auto"/>
          <w:spacing w:val="2"/>
          <w:sz w:val="24"/>
        </w:rPr>
        <w:t>（3）</w:t>
      </w:r>
      <w:r>
        <w:rPr>
          <w:rFonts w:hint="eastAsia" w:asciiTheme="minorEastAsia" w:hAnsiTheme="minorEastAsia" w:eastAsiaTheme="minorEastAsia" w:cstheme="minorEastAsia"/>
          <w:color w:val="auto"/>
          <w:sz w:val="24"/>
        </w:rPr>
        <w:t>款规定情形，对于拒绝延长投标有效期的投标</w:t>
      </w:r>
      <w:r>
        <w:rPr>
          <w:rFonts w:hint="eastAsia" w:asciiTheme="minorEastAsia" w:hAnsiTheme="minorEastAsia" w:eastAsiaTheme="minorEastAsia" w:cstheme="minorEastAsia"/>
          <w:color w:val="auto"/>
          <w:spacing w:val="-11"/>
          <w:sz w:val="24"/>
        </w:rPr>
        <w:t>人，投标保证金仍可退还。对于接受延长投标有效期的投标人，相应延长投标保证金有</w:t>
      </w:r>
      <w:r>
        <w:rPr>
          <w:rFonts w:hint="eastAsia" w:asciiTheme="minorEastAsia" w:hAnsiTheme="minorEastAsia" w:eastAsiaTheme="minorEastAsia" w:cstheme="minorEastAsia"/>
          <w:color w:val="auto"/>
          <w:sz w:val="24"/>
        </w:rPr>
        <w:t>效期，招标文件关于退还和不予退还投标保证金的规定继续适用。</w:t>
      </w:r>
    </w:p>
    <w:p w14:paraId="21B479E0">
      <w:pPr>
        <w:pStyle w:val="24"/>
        <w:numPr>
          <w:ilvl w:val="0"/>
          <w:numId w:val="26"/>
        </w:numPr>
        <w:tabs>
          <w:tab w:val="left" w:pos="1301"/>
        </w:tabs>
        <w:spacing w:before="0" w:after="0" w:line="304" w:lineRule="exact"/>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有下列情形之一的，投标保证金将不予退还或通过投标保函进行索赔：</w:t>
      </w:r>
    </w:p>
    <w:p w14:paraId="6B085064">
      <w:pPr>
        <w:pStyle w:val="6"/>
        <w:spacing w:before="105"/>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①投标人串通投标；</w:t>
      </w:r>
    </w:p>
    <w:p w14:paraId="1D9B3A4D">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②投标人提供虚假材料；</w:t>
      </w:r>
    </w:p>
    <w:p w14:paraId="4D1A82D7">
      <w:pPr>
        <w:pStyle w:val="6"/>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③投标人采取不正当手段诋毁、排挤其他投标人；</w:t>
      </w:r>
    </w:p>
    <w:p w14:paraId="53A06DB7">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④投标截止时间后，投标人在投标有效期内撤销投标文件；</w:t>
      </w:r>
    </w:p>
    <w:p w14:paraId="22D84B0F">
      <w:pPr>
        <w:pStyle w:val="6"/>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⑤招标文件规定的其他不予退还情形；</w:t>
      </w:r>
    </w:p>
    <w:p w14:paraId="7FA3614D">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⑥中标人有下列情形之一的：</w:t>
      </w:r>
    </w:p>
    <w:p w14:paraId="07D61EE4">
      <w:pPr>
        <w:pStyle w:val="24"/>
        <w:numPr>
          <w:ilvl w:val="0"/>
          <w:numId w:val="28"/>
        </w:numPr>
        <w:tabs>
          <w:tab w:val="left" w:pos="877"/>
        </w:tabs>
        <w:spacing w:before="112" w:after="0" w:line="328"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rPr>
        <w:t>除不可抗力外，因中标人自身原因未在中标通知书要求的期限内与采购人签订</w:t>
      </w:r>
      <w:r>
        <w:rPr>
          <w:rFonts w:hint="eastAsia" w:asciiTheme="minorEastAsia" w:hAnsiTheme="minorEastAsia" w:eastAsiaTheme="minorEastAsia" w:cstheme="minorEastAsia"/>
          <w:color w:val="auto"/>
          <w:spacing w:val="-6"/>
          <w:sz w:val="24"/>
          <w:lang w:eastAsia="zh-CN"/>
        </w:rPr>
        <w:t>企业采购</w:t>
      </w:r>
      <w:r>
        <w:rPr>
          <w:rFonts w:hint="eastAsia" w:asciiTheme="minorEastAsia" w:hAnsiTheme="minorEastAsia" w:eastAsiaTheme="minorEastAsia" w:cstheme="minorEastAsia"/>
          <w:color w:val="auto"/>
          <w:sz w:val="24"/>
        </w:rPr>
        <w:t>合同；</w:t>
      </w:r>
    </w:p>
    <w:p w14:paraId="4823D1B2">
      <w:pPr>
        <w:pStyle w:val="24"/>
        <w:numPr>
          <w:ilvl w:val="0"/>
          <w:numId w:val="28"/>
        </w:numPr>
        <w:tabs>
          <w:tab w:val="left" w:pos="889"/>
        </w:tabs>
        <w:spacing w:before="0" w:after="0" w:line="305" w:lineRule="exact"/>
        <w:ind w:left="888" w:right="0" w:hanging="188"/>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未按照招标文件、投标文件的约定签订</w:t>
      </w:r>
      <w:r>
        <w:rPr>
          <w:rFonts w:hint="eastAsia" w:asciiTheme="minorEastAsia" w:hAnsiTheme="minorEastAsia" w:eastAsiaTheme="minorEastAsia" w:cstheme="minorEastAsia"/>
          <w:color w:val="auto"/>
          <w:sz w:val="24"/>
          <w:lang w:eastAsia="zh-CN"/>
        </w:rPr>
        <w:t>企业采购</w:t>
      </w:r>
      <w:r>
        <w:rPr>
          <w:rFonts w:hint="eastAsia" w:asciiTheme="minorEastAsia" w:hAnsiTheme="minorEastAsia" w:eastAsiaTheme="minorEastAsia" w:cstheme="minorEastAsia"/>
          <w:color w:val="auto"/>
          <w:sz w:val="24"/>
        </w:rPr>
        <w:t>合同或提交履约保证金。</w:t>
      </w:r>
    </w:p>
    <w:p w14:paraId="71BECF48">
      <w:pPr>
        <w:pStyle w:val="6"/>
        <w:spacing w:before="113"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2"/>
        </w:rPr>
        <w:t>※若上述投标保证金不予退还情形给采购人</w:t>
      </w:r>
      <w:r>
        <w:rPr>
          <w:rFonts w:hint="eastAsia" w:asciiTheme="minorEastAsia" w:hAnsiTheme="minorEastAsia" w:eastAsiaTheme="minorEastAsia" w:cstheme="minorEastAsia"/>
          <w:color w:val="auto"/>
        </w:rPr>
        <w:t>（采购代理机构</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spacing w:val="-7"/>
        </w:rPr>
        <w:t>造成损失，则投标人</w:t>
      </w:r>
      <w:r>
        <w:rPr>
          <w:rFonts w:hint="eastAsia" w:asciiTheme="minorEastAsia" w:hAnsiTheme="minorEastAsia" w:eastAsiaTheme="minorEastAsia" w:cstheme="minorEastAsia"/>
          <w:color w:val="auto"/>
        </w:rPr>
        <w:t>还要承担相应的赔偿责任。</w:t>
      </w:r>
    </w:p>
    <w:p w14:paraId="0EBF0AB1">
      <w:pPr>
        <w:pStyle w:val="24"/>
        <w:numPr>
          <w:ilvl w:val="1"/>
          <w:numId w:val="27"/>
        </w:numPr>
        <w:tabs>
          <w:tab w:val="left" w:pos="1308"/>
        </w:tabs>
        <w:spacing w:before="0" w:after="0" w:line="305" w:lineRule="exact"/>
        <w:ind w:left="1307" w:right="0" w:hanging="607"/>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投标文件的提交</w:t>
      </w:r>
    </w:p>
    <w:p w14:paraId="2FFE36BF">
      <w:pPr>
        <w:pStyle w:val="6"/>
        <w:spacing w:before="39"/>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（1）一个投标人只能提交一个投标文件。</w:t>
      </w:r>
    </w:p>
    <w:p w14:paraId="22BA33DE">
      <w:pPr>
        <w:pStyle w:val="24"/>
        <w:numPr>
          <w:ilvl w:val="1"/>
          <w:numId w:val="27"/>
        </w:numPr>
        <w:tabs>
          <w:tab w:val="left" w:pos="1308"/>
        </w:tabs>
        <w:spacing w:before="112" w:after="0" w:line="240" w:lineRule="auto"/>
        <w:ind w:left="1307" w:right="0" w:hanging="607"/>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投标文件的补充、修改或撤回</w:t>
      </w:r>
    </w:p>
    <w:p w14:paraId="66CA3693">
      <w:pPr>
        <w:pStyle w:val="24"/>
        <w:numPr>
          <w:ilvl w:val="0"/>
          <w:numId w:val="29"/>
        </w:numPr>
        <w:tabs>
          <w:tab w:val="left" w:pos="1304"/>
        </w:tabs>
        <w:spacing w:before="113" w:after="0" w:line="328"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投标截止时间前，投标人可对所提交的投标文件进行补充、修改或撤回，并</w:t>
      </w:r>
      <w:r>
        <w:rPr>
          <w:rFonts w:hint="eastAsia" w:asciiTheme="minorEastAsia" w:hAnsiTheme="minorEastAsia" w:eastAsiaTheme="minorEastAsia" w:cstheme="minorEastAsia"/>
          <w:color w:val="auto"/>
          <w:sz w:val="24"/>
        </w:rPr>
        <w:t>书面通知</w:t>
      </w:r>
      <w:r>
        <w:rPr>
          <w:rFonts w:hint="eastAsia" w:asciiTheme="minorEastAsia" w:hAnsiTheme="minorEastAsia" w:eastAsiaTheme="minorEastAsia" w:cstheme="minorEastAsia"/>
          <w:color w:val="auto"/>
          <w:sz w:val="24"/>
          <w:lang w:eastAsia="zh-CN"/>
        </w:rPr>
        <w:t>锐驰项目管理有限公司</w:t>
      </w:r>
      <w:r>
        <w:rPr>
          <w:rFonts w:hint="eastAsia" w:asciiTheme="minorEastAsia" w:hAnsiTheme="minorEastAsia" w:eastAsiaTheme="minorEastAsia" w:cstheme="minorEastAsia"/>
          <w:color w:val="auto"/>
          <w:sz w:val="24"/>
        </w:rPr>
        <w:t>。</w:t>
      </w:r>
    </w:p>
    <w:p w14:paraId="754A17FD">
      <w:pPr>
        <w:pStyle w:val="24"/>
        <w:numPr>
          <w:ilvl w:val="0"/>
          <w:numId w:val="29"/>
        </w:numPr>
        <w:tabs>
          <w:tab w:val="left" w:pos="1308"/>
        </w:tabs>
        <w:spacing w:before="0" w:after="0" w:line="305" w:lineRule="exact"/>
        <w:ind w:left="1307" w:right="0" w:hanging="607"/>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4"/>
          <w:sz w:val="24"/>
        </w:rPr>
        <w:t xml:space="preserve">补充、修改的内容应按照本章第 </w:t>
      </w:r>
      <w:r>
        <w:rPr>
          <w:rFonts w:hint="eastAsia" w:asciiTheme="minorEastAsia" w:hAnsiTheme="minorEastAsia" w:eastAsiaTheme="minorEastAsia" w:cstheme="minorEastAsia"/>
          <w:color w:val="auto"/>
          <w:sz w:val="24"/>
        </w:rPr>
        <w:t>10.5</w:t>
      </w:r>
      <w:r>
        <w:rPr>
          <w:rFonts w:hint="eastAsia" w:asciiTheme="minorEastAsia" w:hAnsiTheme="minorEastAsia" w:eastAsiaTheme="minorEastAsia" w:cstheme="minorEastAsia"/>
          <w:color w:val="auto"/>
          <w:spacing w:val="10"/>
          <w:sz w:val="24"/>
        </w:rPr>
        <w:t xml:space="preserve"> </w:t>
      </w:r>
      <w:r>
        <w:rPr>
          <w:rFonts w:hint="eastAsia" w:asciiTheme="minorEastAsia" w:hAnsiTheme="minorEastAsia" w:eastAsiaTheme="minorEastAsia" w:cstheme="minorEastAsia"/>
          <w:color w:val="auto"/>
          <w:sz w:val="24"/>
        </w:rPr>
        <w:t>条第（4）款规定进行签署、盖章，并</w:t>
      </w:r>
    </w:p>
    <w:p w14:paraId="0E7DC898">
      <w:pPr>
        <w:pStyle w:val="6"/>
        <w:spacing w:before="11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按照本章第 10.10 条规定提交，否则将被拒收。</w:t>
      </w:r>
    </w:p>
    <w:p w14:paraId="7454BA07">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※按照上述规定提交的补充、修改内容作为投标文件组成部分。</w:t>
      </w:r>
    </w:p>
    <w:p w14:paraId="33463EE4">
      <w:pPr>
        <w:pStyle w:val="24"/>
        <w:numPr>
          <w:ilvl w:val="1"/>
          <w:numId w:val="27"/>
        </w:numPr>
        <w:tabs>
          <w:tab w:val="left" w:pos="1308"/>
        </w:tabs>
        <w:spacing w:before="112" w:after="0" w:line="240" w:lineRule="auto"/>
        <w:ind w:left="1307" w:right="0" w:hanging="607"/>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除招标文件另有规定外，有下列情形之一的，投标无效：</w:t>
      </w:r>
    </w:p>
    <w:p w14:paraId="7AB2A628">
      <w:pPr>
        <w:pStyle w:val="24"/>
        <w:numPr>
          <w:ilvl w:val="0"/>
          <w:numId w:val="30"/>
        </w:numPr>
        <w:tabs>
          <w:tab w:val="left" w:pos="1301"/>
        </w:tabs>
        <w:spacing w:before="113"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投标文件未按照招标文件要求签署、盖章；</w:t>
      </w:r>
    </w:p>
    <w:p w14:paraId="520769BC">
      <w:pPr>
        <w:pStyle w:val="24"/>
        <w:numPr>
          <w:ilvl w:val="0"/>
          <w:numId w:val="30"/>
        </w:numPr>
        <w:tabs>
          <w:tab w:val="left" w:pos="1301"/>
        </w:tabs>
        <w:spacing w:before="112"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不符合招标文件中规定的资格要求；</w:t>
      </w:r>
    </w:p>
    <w:p w14:paraId="7385F2CF">
      <w:pPr>
        <w:pStyle w:val="24"/>
        <w:numPr>
          <w:ilvl w:val="0"/>
          <w:numId w:val="30"/>
        </w:numPr>
        <w:tabs>
          <w:tab w:val="left" w:pos="1301"/>
        </w:tabs>
        <w:spacing w:before="113"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投标报价超过招标文件中规定的预算金额或最高限价；</w:t>
      </w:r>
    </w:p>
    <w:p w14:paraId="30325AEC">
      <w:pPr>
        <w:pStyle w:val="24"/>
        <w:numPr>
          <w:ilvl w:val="0"/>
          <w:numId w:val="30"/>
        </w:numPr>
        <w:tabs>
          <w:tab w:val="left" w:pos="1301"/>
        </w:tabs>
        <w:spacing w:before="112"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投标文件含有采购人不能接受的附加条件；</w:t>
      </w:r>
    </w:p>
    <w:p w14:paraId="53593A6C">
      <w:pPr>
        <w:pStyle w:val="24"/>
        <w:numPr>
          <w:ilvl w:val="0"/>
          <w:numId w:val="30"/>
        </w:numPr>
        <w:tabs>
          <w:tab w:val="left" w:pos="1301"/>
        </w:tabs>
        <w:spacing w:before="113" w:after="0" w:line="328" w:lineRule="auto"/>
        <w:ind w:left="220" w:right="2525" w:firstLine="480"/>
        <w:jc w:val="left"/>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color w:val="auto"/>
          <w:spacing w:val="-1"/>
          <w:sz w:val="24"/>
        </w:rPr>
        <w:t>有关法律、法规和规章及招标文件规定的其他无效情形。</w:t>
      </w:r>
      <w:bookmarkStart w:id="26" w:name="五、开标"/>
      <w:bookmarkEnd w:id="26"/>
      <w:r>
        <w:rPr>
          <w:rFonts w:hint="eastAsia" w:asciiTheme="minorEastAsia" w:hAnsiTheme="minorEastAsia" w:eastAsiaTheme="minorEastAsia" w:cstheme="minorEastAsia"/>
          <w:b/>
          <w:color w:val="auto"/>
          <w:sz w:val="24"/>
        </w:rPr>
        <w:t>五、开标</w:t>
      </w:r>
    </w:p>
    <w:p w14:paraId="4029FCB4">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11、开标</w:t>
      </w:r>
    </w:p>
    <w:p w14:paraId="5C1ABE40">
      <w:pPr>
        <w:pStyle w:val="24"/>
        <w:numPr>
          <w:ilvl w:val="1"/>
          <w:numId w:val="31"/>
        </w:numPr>
        <w:tabs>
          <w:tab w:val="left" w:pos="1190"/>
        </w:tabs>
        <w:spacing w:before="112" w:after="0" w:line="328"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锐驰项目管理有限公司</w:t>
      </w:r>
      <w:r>
        <w:rPr>
          <w:rFonts w:hint="eastAsia" w:asciiTheme="minorEastAsia" w:hAnsiTheme="minorEastAsia" w:eastAsiaTheme="minorEastAsia" w:cstheme="minorEastAsia"/>
          <w:color w:val="auto"/>
          <w:sz w:val="24"/>
        </w:rPr>
        <w:t>将在招标文件载明的开标时间及地点主持召开开标会，并邀请投标人参加。</w:t>
      </w:r>
    </w:p>
    <w:p w14:paraId="68058CD3">
      <w:pPr>
        <w:pStyle w:val="24"/>
        <w:numPr>
          <w:ilvl w:val="1"/>
          <w:numId w:val="31"/>
        </w:numPr>
        <w:tabs>
          <w:tab w:val="left" w:pos="1185"/>
        </w:tabs>
        <w:spacing w:before="0" w:after="0" w:line="328"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rPr>
        <w:t>开标会的主持人、唱标人、记录人及其他工作人员</w:t>
      </w:r>
      <w:r>
        <w:rPr>
          <w:rFonts w:hint="eastAsia" w:asciiTheme="minorEastAsia" w:hAnsiTheme="minorEastAsia" w:eastAsiaTheme="minorEastAsia" w:cstheme="minorEastAsia"/>
          <w:color w:val="auto"/>
          <w:sz w:val="24"/>
        </w:rPr>
        <w:t>（若有</w:t>
      </w:r>
      <w:r>
        <w:rPr>
          <w:rFonts w:hint="eastAsia" w:asciiTheme="minorEastAsia" w:hAnsiTheme="minorEastAsia" w:eastAsiaTheme="minorEastAsia" w:cstheme="minorEastAsia"/>
          <w:color w:val="auto"/>
          <w:spacing w:val="-24"/>
          <w:sz w:val="24"/>
        </w:rPr>
        <w:t>）</w:t>
      </w:r>
      <w:r>
        <w:rPr>
          <w:rFonts w:hint="eastAsia" w:asciiTheme="minorEastAsia" w:hAnsiTheme="minorEastAsia" w:eastAsiaTheme="minorEastAsia" w:cstheme="minorEastAsia"/>
          <w:color w:val="auto"/>
          <w:spacing w:val="-2"/>
          <w:sz w:val="24"/>
        </w:rPr>
        <w:t>均由</w:t>
      </w:r>
      <w:r>
        <w:rPr>
          <w:rFonts w:hint="eastAsia" w:asciiTheme="minorEastAsia" w:hAnsiTheme="minorEastAsia" w:eastAsiaTheme="minorEastAsia" w:cstheme="minorEastAsia"/>
          <w:color w:val="auto"/>
          <w:spacing w:val="-2"/>
          <w:sz w:val="24"/>
          <w:lang w:eastAsia="zh-CN"/>
        </w:rPr>
        <w:t>锐驰项目管理有限公司</w:t>
      </w:r>
      <w:r>
        <w:rPr>
          <w:rFonts w:hint="eastAsia" w:asciiTheme="minorEastAsia" w:hAnsiTheme="minorEastAsia" w:eastAsiaTheme="minorEastAsia" w:cstheme="minorEastAsia"/>
          <w:color w:val="auto"/>
          <w:sz w:val="24"/>
        </w:rPr>
        <w:t>派出，现场监督人员（若有）可由有关方面派出。</w:t>
      </w:r>
    </w:p>
    <w:p w14:paraId="528D12AE">
      <w:pPr>
        <w:pStyle w:val="24"/>
        <w:numPr>
          <w:ilvl w:val="1"/>
          <w:numId w:val="31"/>
        </w:numPr>
        <w:tabs>
          <w:tab w:val="left" w:pos="1185"/>
        </w:tabs>
        <w:spacing w:before="0" w:after="0" w:line="328"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9"/>
          <w:sz w:val="24"/>
        </w:rPr>
        <w:t>本项目的开标环节，投标人可自行选择到开标现场参加开标会。如因投标人自</w:t>
      </w:r>
      <w:r>
        <w:rPr>
          <w:rFonts w:hint="eastAsia" w:asciiTheme="minorEastAsia" w:hAnsiTheme="minorEastAsia" w:eastAsiaTheme="minorEastAsia" w:cstheme="minorEastAsia"/>
          <w:color w:val="auto"/>
          <w:sz w:val="24"/>
        </w:rPr>
        <w:t>身原因造成无法正常参与开标过程的，不利后果由投标人自行承担。</w:t>
      </w:r>
    </w:p>
    <w:p w14:paraId="069C1148">
      <w:pPr>
        <w:pStyle w:val="24"/>
        <w:numPr>
          <w:ilvl w:val="1"/>
          <w:numId w:val="31"/>
        </w:numPr>
        <w:tabs>
          <w:tab w:val="left" w:pos="1185"/>
        </w:tabs>
        <w:spacing w:before="0" w:after="0" w:line="305" w:lineRule="exact"/>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开标会应遵守下列规定：</w:t>
      </w:r>
    </w:p>
    <w:p w14:paraId="2B6B0AF9">
      <w:pPr>
        <w:pStyle w:val="24"/>
        <w:numPr>
          <w:ilvl w:val="0"/>
          <w:numId w:val="32"/>
        </w:numPr>
        <w:tabs>
          <w:tab w:val="left" w:pos="1304"/>
        </w:tabs>
        <w:spacing w:before="108"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首先由主持人宣布开标会须知，然后由投标人代表对投标文件的加密情况进</w:t>
      </w:r>
      <w:r>
        <w:rPr>
          <w:rFonts w:hint="eastAsia" w:asciiTheme="minorEastAsia" w:hAnsiTheme="minorEastAsia" w:eastAsiaTheme="minorEastAsia" w:cstheme="minorEastAsia"/>
          <w:color w:val="auto"/>
          <w:spacing w:val="-11"/>
          <w:sz w:val="24"/>
        </w:rPr>
        <w:t>行检查，经确认无误后，由工作人员对参加现场开标会投标人的投标文件进行解密。通</w:t>
      </w:r>
      <w:r>
        <w:rPr>
          <w:rFonts w:hint="eastAsia" w:asciiTheme="minorEastAsia" w:hAnsiTheme="minorEastAsia" w:eastAsiaTheme="minorEastAsia" w:cstheme="minorEastAsia"/>
          <w:color w:val="auto"/>
          <w:sz w:val="24"/>
        </w:rPr>
        <w:t>过远程参与开标流程的投标人须在系统远程解密开启后，在代理机构规定时间内使用</w:t>
      </w:r>
    </w:p>
    <w:p w14:paraId="0E33A1FE">
      <w:pPr>
        <w:pStyle w:val="6"/>
        <w:spacing w:line="304" w:lineRule="exact"/>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CA</w:t>
      </w:r>
      <w:r>
        <w:rPr>
          <w:rFonts w:hint="eastAsia" w:asciiTheme="minorEastAsia" w:hAnsiTheme="minorEastAsia" w:eastAsiaTheme="minorEastAsia" w:cstheme="minorEastAsia"/>
          <w:color w:val="auto"/>
          <w:spacing w:val="5"/>
        </w:rPr>
        <w:t xml:space="preserve"> </w:t>
      </w:r>
      <w:r>
        <w:rPr>
          <w:rFonts w:hint="eastAsia" w:asciiTheme="minorEastAsia" w:hAnsiTheme="minorEastAsia" w:eastAsiaTheme="minorEastAsia" w:cstheme="minorEastAsia"/>
          <w:color w:val="auto"/>
        </w:rPr>
        <w:t>数字证书进行投标文件的解密操作，逾期未解密的视为放弃投标。</w:t>
      </w:r>
    </w:p>
    <w:p w14:paraId="43ABCEAB">
      <w:pPr>
        <w:pStyle w:val="24"/>
        <w:numPr>
          <w:ilvl w:val="0"/>
          <w:numId w:val="32"/>
        </w:numPr>
        <w:tabs>
          <w:tab w:val="left" w:pos="1301"/>
        </w:tabs>
        <w:spacing w:before="112" w:after="0" w:line="328" w:lineRule="auto"/>
        <w:ind w:left="220" w:right="45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9"/>
          <w:sz w:val="24"/>
        </w:rPr>
        <w:t>唱标时，唱标人将依次宣布“投标人名称”、“各投标人关于投标文件补充、</w:t>
      </w:r>
      <w:r>
        <w:rPr>
          <w:rFonts w:hint="eastAsia" w:asciiTheme="minorEastAsia" w:hAnsiTheme="minorEastAsia" w:eastAsiaTheme="minorEastAsia" w:cstheme="minorEastAsia"/>
          <w:color w:val="auto"/>
          <w:spacing w:val="-2"/>
          <w:sz w:val="24"/>
        </w:rPr>
        <w:t>修改或撤回的书面通知</w:t>
      </w:r>
      <w:r>
        <w:rPr>
          <w:rFonts w:hint="eastAsia" w:asciiTheme="minorEastAsia" w:hAnsiTheme="minorEastAsia" w:eastAsiaTheme="minorEastAsia" w:cstheme="minorEastAsia"/>
          <w:color w:val="auto"/>
          <w:spacing w:val="-3"/>
          <w:sz w:val="24"/>
        </w:rPr>
        <w:t>（</w:t>
      </w:r>
      <w:r>
        <w:rPr>
          <w:rFonts w:hint="eastAsia" w:asciiTheme="minorEastAsia" w:hAnsiTheme="minorEastAsia" w:eastAsiaTheme="minorEastAsia" w:cstheme="minorEastAsia"/>
          <w:color w:val="auto"/>
          <w:sz w:val="24"/>
        </w:rPr>
        <w:t>若有</w:t>
      </w:r>
      <w:r>
        <w:rPr>
          <w:rFonts w:hint="eastAsia" w:asciiTheme="minorEastAsia" w:hAnsiTheme="minorEastAsia" w:eastAsiaTheme="minorEastAsia" w:cstheme="minorEastAsia"/>
          <w:color w:val="auto"/>
          <w:spacing w:val="-16"/>
          <w:sz w:val="24"/>
        </w:rPr>
        <w:t>）</w:t>
      </w:r>
      <w:r>
        <w:rPr>
          <w:rFonts w:hint="eastAsia" w:asciiTheme="minorEastAsia" w:hAnsiTheme="minorEastAsia" w:eastAsiaTheme="minorEastAsia" w:cstheme="minorEastAsia"/>
          <w:color w:val="auto"/>
          <w:spacing w:val="-8"/>
          <w:sz w:val="24"/>
        </w:rPr>
        <w:t>”、“各投标人的投标报价”和招标文件规定的需要宣</w:t>
      </w:r>
      <w:r>
        <w:rPr>
          <w:rFonts w:hint="eastAsia" w:asciiTheme="minorEastAsia" w:hAnsiTheme="minorEastAsia" w:eastAsiaTheme="minorEastAsia" w:cstheme="minorEastAsia"/>
          <w:color w:val="auto"/>
          <w:spacing w:val="-13"/>
          <w:sz w:val="24"/>
        </w:rPr>
        <w:t>布的其他内容</w:t>
      </w:r>
      <w:r>
        <w:rPr>
          <w:rFonts w:hint="eastAsia" w:asciiTheme="minorEastAsia" w:hAnsiTheme="minorEastAsia" w:eastAsiaTheme="minorEastAsia" w:cstheme="minorEastAsia"/>
          <w:color w:val="auto"/>
          <w:spacing w:val="-3"/>
          <w:sz w:val="24"/>
        </w:rPr>
        <w:t>（</w:t>
      </w:r>
      <w:r>
        <w:rPr>
          <w:rFonts w:hint="eastAsia" w:asciiTheme="minorEastAsia" w:hAnsiTheme="minorEastAsia" w:eastAsiaTheme="minorEastAsia" w:cstheme="minorEastAsia"/>
          <w:color w:val="auto"/>
          <w:spacing w:val="-8"/>
          <w:sz w:val="24"/>
        </w:rPr>
        <w:t>包括但不限于：开标一览表中的内容、唱标人认为需要宣布的内容等</w:t>
      </w:r>
      <w:r>
        <w:rPr>
          <w:rFonts w:hint="eastAsia" w:asciiTheme="minorEastAsia" w:hAnsiTheme="minorEastAsia" w:eastAsiaTheme="minorEastAsia" w:cstheme="minorEastAsia"/>
          <w:color w:val="auto"/>
          <w:spacing w:val="-101"/>
          <w:sz w:val="24"/>
        </w:rPr>
        <w:t>）</w:t>
      </w:r>
      <w:r>
        <w:rPr>
          <w:rFonts w:hint="eastAsia" w:asciiTheme="minorEastAsia" w:hAnsiTheme="minorEastAsia" w:eastAsiaTheme="minorEastAsia" w:cstheme="minorEastAsia"/>
          <w:color w:val="auto"/>
          <w:spacing w:val="-16"/>
          <w:sz w:val="24"/>
        </w:rPr>
        <w:t>。</w:t>
      </w:r>
    </w:p>
    <w:p w14:paraId="0E027906">
      <w:pPr>
        <w:pStyle w:val="24"/>
        <w:numPr>
          <w:ilvl w:val="0"/>
          <w:numId w:val="32"/>
        </w:numPr>
        <w:tabs>
          <w:tab w:val="left" w:pos="1304"/>
        </w:tabs>
        <w:spacing w:before="0"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唱标结束后，参加现场开标会的投标人代表应对开标记录进行签字确认，通</w:t>
      </w:r>
      <w:r>
        <w:rPr>
          <w:rFonts w:hint="eastAsia" w:asciiTheme="minorEastAsia" w:hAnsiTheme="minorEastAsia" w:eastAsiaTheme="minorEastAsia" w:cstheme="minorEastAsia"/>
          <w:color w:val="auto"/>
          <w:spacing w:val="-5"/>
          <w:sz w:val="24"/>
        </w:rPr>
        <w:t>过远程参与开标流程的投标人须在系统远程签章开启后，在系统规定时间内对开标结果</w:t>
      </w:r>
      <w:r>
        <w:rPr>
          <w:rFonts w:hint="eastAsia" w:asciiTheme="minorEastAsia" w:hAnsiTheme="minorEastAsia" w:eastAsiaTheme="minorEastAsia" w:cstheme="minorEastAsia"/>
          <w:color w:val="auto"/>
          <w:sz w:val="24"/>
        </w:rPr>
        <w:t>进行签章确认。</w:t>
      </w:r>
    </w:p>
    <w:p w14:paraId="51C31C4A">
      <w:pPr>
        <w:pStyle w:val="24"/>
        <w:numPr>
          <w:ilvl w:val="0"/>
          <w:numId w:val="32"/>
        </w:numPr>
        <w:tabs>
          <w:tab w:val="left" w:pos="1301"/>
        </w:tabs>
        <w:spacing w:before="39" w:after="0" w:line="328" w:lineRule="auto"/>
        <w:ind w:left="220" w:right="45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4"/>
          <w:sz w:val="24"/>
        </w:rPr>
        <w:t>投标人代表对开标过程和开标记录有疑义，以及认为采购人</w:t>
      </w:r>
      <w:r>
        <w:rPr>
          <w:rFonts w:hint="eastAsia" w:asciiTheme="minorEastAsia" w:hAnsiTheme="minorEastAsia" w:eastAsiaTheme="minorEastAsia" w:cstheme="minorEastAsia"/>
          <w:color w:val="auto"/>
          <w:sz w:val="24"/>
        </w:rPr>
        <w:t>（采购代理机构</w:t>
      </w:r>
      <w:r>
        <w:rPr>
          <w:rFonts w:hint="eastAsia" w:asciiTheme="minorEastAsia" w:hAnsiTheme="minorEastAsia" w:eastAsiaTheme="minorEastAsia" w:cstheme="minorEastAsia"/>
          <w:color w:val="auto"/>
          <w:spacing w:val="-15"/>
          <w:sz w:val="24"/>
        </w:rPr>
        <w:t>）</w:t>
      </w:r>
      <w:r>
        <w:rPr>
          <w:rFonts w:hint="eastAsia" w:asciiTheme="minorEastAsia" w:hAnsiTheme="minorEastAsia" w:eastAsiaTheme="minorEastAsia" w:cstheme="minorEastAsia"/>
          <w:color w:val="auto"/>
          <w:spacing w:val="-6"/>
          <w:sz w:val="24"/>
        </w:rPr>
        <w:t>相关工作人员有需要回避情形的，应当场或通过系统提出询问或回避申请。投标人代</w:t>
      </w:r>
      <w:r>
        <w:rPr>
          <w:rFonts w:hint="eastAsia" w:asciiTheme="minorEastAsia" w:hAnsiTheme="minorEastAsia" w:eastAsiaTheme="minorEastAsia" w:cstheme="minorEastAsia"/>
          <w:color w:val="auto"/>
          <w:spacing w:val="-9"/>
          <w:sz w:val="24"/>
        </w:rPr>
        <w:t>表未按规定提出疑义又拒绝对开标记录签字或通过系统远程签章确认的，视为投标人对开标过程和开标记录予以认可。</w:t>
      </w:r>
    </w:p>
    <w:p w14:paraId="6D92BF84">
      <w:pPr>
        <w:pStyle w:val="24"/>
        <w:numPr>
          <w:ilvl w:val="0"/>
          <w:numId w:val="32"/>
        </w:numPr>
        <w:tabs>
          <w:tab w:val="left" w:pos="1304"/>
        </w:tabs>
        <w:spacing w:before="0" w:after="0" w:line="328"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若投标人未到开标现场参加开标会，也未通过远程参加开标会的，视同认可</w:t>
      </w:r>
      <w:r>
        <w:rPr>
          <w:rFonts w:hint="eastAsia" w:asciiTheme="minorEastAsia" w:hAnsiTheme="minorEastAsia" w:eastAsiaTheme="minorEastAsia" w:cstheme="minorEastAsia"/>
          <w:color w:val="auto"/>
          <w:sz w:val="24"/>
        </w:rPr>
        <w:t>开标结果。</w:t>
      </w:r>
    </w:p>
    <w:p w14:paraId="07E226AA">
      <w:pPr>
        <w:pStyle w:val="6"/>
        <w:spacing w:line="328" w:lineRule="auto"/>
        <w:ind w:right="485"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8"/>
        </w:rPr>
        <w:t xml:space="preserve">※若出现本章第 </w:t>
      </w:r>
      <w:r>
        <w:rPr>
          <w:rFonts w:hint="eastAsia" w:asciiTheme="minorEastAsia" w:hAnsiTheme="minorEastAsia" w:eastAsiaTheme="minorEastAsia" w:cstheme="minorEastAsia"/>
          <w:color w:val="auto"/>
        </w:rPr>
        <w:t>11.4</w:t>
      </w:r>
      <w:r>
        <w:rPr>
          <w:rFonts w:hint="eastAsia" w:asciiTheme="minorEastAsia" w:hAnsiTheme="minorEastAsia" w:eastAsiaTheme="minorEastAsia" w:cstheme="minorEastAsia"/>
          <w:color w:val="auto"/>
          <w:spacing w:val="3"/>
        </w:rPr>
        <w:t xml:space="preserve"> </w:t>
      </w:r>
      <w:r>
        <w:rPr>
          <w:rFonts w:hint="eastAsia" w:asciiTheme="minorEastAsia" w:hAnsiTheme="minorEastAsia" w:eastAsiaTheme="minorEastAsia" w:cstheme="minorEastAsia"/>
          <w:color w:val="auto"/>
          <w:spacing w:val="-3"/>
        </w:rPr>
        <w:t>条第</w:t>
      </w:r>
      <w:r>
        <w:rPr>
          <w:rFonts w:hint="eastAsia" w:asciiTheme="minorEastAsia" w:hAnsiTheme="minorEastAsia" w:eastAsiaTheme="minorEastAsia" w:cstheme="minorEastAsia"/>
          <w:color w:val="auto"/>
        </w:rPr>
        <w:t>（3）</w:t>
      </w:r>
      <w:r>
        <w:rPr>
          <w:rFonts w:hint="eastAsia" w:asciiTheme="minorEastAsia" w:hAnsiTheme="minorEastAsia" w:eastAsiaTheme="minorEastAsia" w:cstheme="minorEastAsia"/>
          <w:color w:val="auto"/>
          <w:spacing w:val="-10"/>
        </w:rPr>
        <w:t>、</w:t>
      </w:r>
      <w:r>
        <w:rPr>
          <w:rFonts w:hint="eastAsia" w:asciiTheme="minorEastAsia" w:hAnsiTheme="minorEastAsia" w:eastAsiaTheme="minorEastAsia" w:cstheme="minorEastAsia"/>
          <w:color w:val="auto"/>
          <w:spacing w:val="-3"/>
        </w:rPr>
        <w:t>（4）</w:t>
      </w:r>
      <w:r>
        <w:rPr>
          <w:rFonts w:hint="eastAsia" w:asciiTheme="minorEastAsia" w:hAnsiTheme="minorEastAsia" w:eastAsiaTheme="minorEastAsia" w:cstheme="minorEastAsia"/>
          <w:color w:val="auto"/>
          <w:spacing w:val="-8"/>
        </w:rPr>
        <w:t>、</w:t>
      </w:r>
      <w:r>
        <w:rPr>
          <w:rFonts w:hint="eastAsia" w:asciiTheme="minorEastAsia" w:hAnsiTheme="minorEastAsia" w:eastAsiaTheme="minorEastAsia" w:cstheme="minorEastAsia"/>
          <w:color w:val="auto"/>
          <w:spacing w:val="-4"/>
        </w:rPr>
        <w:t>（5）</w:t>
      </w:r>
      <w:r>
        <w:rPr>
          <w:rFonts w:hint="eastAsia" w:asciiTheme="minorEastAsia" w:hAnsiTheme="minorEastAsia" w:eastAsiaTheme="minorEastAsia" w:cstheme="minorEastAsia"/>
          <w:color w:val="auto"/>
          <w:spacing w:val="-1"/>
        </w:rPr>
        <w:t>款规定情形之一，则投标人不得在</w:t>
      </w:r>
      <w:r>
        <w:rPr>
          <w:rFonts w:hint="eastAsia" w:asciiTheme="minorEastAsia" w:hAnsiTheme="minorEastAsia" w:eastAsiaTheme="minorEastAsia" w:cstheme="minorEastAsia"/>
          <w:color w:val="auto"/>
          <w:spacing w:val="-3"/>
        </w:rPr>
        <w:t>开标会后就开标过程和开标记录涉及或可能涉及的有关事由</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8"/>
        </w:rPr>
        <w:t>包括但不限于：“投标报</w:t>
      </w:r>
      <w:r>
        <w:rPr>
          <w:rFonts w:hint="eastAsia" w:asciiTheme="minorEastAsia" w:hAnsiTheme="minorEastAsia" w:eastAsiaTheme="minorEastAsia" w:cstheme="minorEastAsia"/>
          <w:color w:val="auto"/>
          <w:spacing w:val="-9"/>
        </w:rPr>
        <w:t xml:space="preserve">价”、“投标文件的格式”、“投标文件的提交”、“投标文件的补充、修改或撤回” </w:t>
      </w:r>
      <w:r>
        <w:rPr>
          <w:rFonts w:hint="eastAsia" w:asciiTheme="minorEastAsia" w:hAnsiTheme="minorEastAsia" w:eastAsiaTheme="minorEastAsia" w:cstheme="minorEastAsia"/>
          <w:color w:val="auto"/>
        </w:rPr>
        <w:t>等）向</w:t>
      </w:r>
      <w:r>
        <w:rPr>
          <w:rFonts w:hint="eastAsia" w:asciiTheme="minorEastAsia" w:hAnsiTheme="minorEastAsia" w:eastAsiaTheme="minorEastAsia" w:cstheme="minorEastAsia"/>
          <w:color w:val="auto"/>
          <w:lang w:eastAsia="zh-CN"/>
        </w:rPr>
        <w:t>锐驰项目管理有限公司</w:t>
      </w:r>
      <w:r>
        <w:rPr>
          <w:rFonts w:hint="eastAsia" w:asciiTheme="minorEastAsia" w:hAnsiTheme="minorEastAsia" w:eastAsiaTheme="minorEastAsia" w:cstheme="minorEastAsia"/>
          <w:color w:val="auto"/>
        </w:rPr>
        <w:t>提出任何疑义或要求（包括质疑）。</w:t>
      </w:r>
    </w:p>
    <w:p w14:paraId="122E5203">
      <w:pPr>
        <w:pStyle w:val="24"/>
        <w:numPr>
          <w:ilvl w:val="1"/>
          <w:numId w:val="31"/>
        </w:numPr>
        <w:tabs>
          <w:tab w:val="left" w:pos="1185"/>
        </w:tabs>
        <w:spacing w:before="0"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8"/>
          <w:sz w:val="24"/>
        </w:rPr>
        <w:t>投标截止时间后，参加投标的投标人不足三家的，不进行开标。同时，本次采</w:t>
      </w:r>
      <w:r>
        <w:rPr>
          <w:rFonts w:hint="eastAsia" w:asciiTheme="minorEastAsia" w:hAnsiTheme="minorEastAsia" w:eastAsiaTheme="minorEastAsia" w:cstheme="minorEastAsia"/>
          <w:color w:val="auto"/>
          <w:spacing w:val="-7"/>
          <w:sz w:val="24"/>
        </w:rPr>
        <w:t>购活动结束，</w:t>
      </w:r>
      <w:r>
        <w:rPr>
          <w:rFonts w:hint="eastAsia" w:asciiTheme="minorEastAsia" w:hAnsiTheme="minorEastAsia" w:eastAsiaTheme="minorEastAsia" w:cstheme="minorEastAsia"/>
          <w:color w:val="auto"/>
          <w:spacing w:val="-7"/>
          <w:sz w:val="24"/>
          <w:lang w:eastAsia="zh-CN"/>
        </w:rPr>
        <w:t>锐驰项目管理有限公司</w:t>
      </w:r>
      <w:r>
        <w:rPr>
          <w:rFonts w:hint="eastAsia" w:asciiTheme="minorEastAsia" w:hAnsiTheme="minorEastAsia" w:eastAsiaTheme="minorEastAsia" w:cstheme="minorEastAsia"/>
          <w:color w:val="auto"/>
          <w:spacing w:val="-7"/>
          <w:sz w:val="24"/>
        </w:rPr>
        <w:t>将依法组织后续采购活动</w:t>
      </w:r>
      <w:r>
        <w:rPr>
          <w:rFonts w:hint="eastAsia" w:asciiTheme="minorEastAsia" w:hAnsiTheme="minorEastAsia" w:eastAsiaTheme="minorEastAsia" w:cstheme="minorEastAsia"/>
          <w:color w:val="auto"/>
          <w:sz w:val="24"/>
        </w:rPr>
        <w:t>（</w:t>
      </w:r>
      <w:r>
        <w:rPr>
          <w:rFonts w:hint="eastAsia" w:asciiTheme="minorEastAsia" w:hAnsiTheme="minorEastAsia" w:eastAsiaTheme="minorEastAsia" w:cstheme="minorEastAsia"/>
          <w:color w:val="auto"/>
          <w:spacing w:val="-7"/>
          <w:sz w:val="24"/>
        </w:rPr>
        <w:t>包括但不限于：重</w:t>
      </w:r>
      <w:r>
        <w:rPr>
          <w:rFonts w:hint="eastAsia" w:asciiTheme="minorEastAsia" w:hAnsiTheme="minorEastAsia" w:eastAsiaTheme="minorEastAsia" w:cstheme="minorEastAsia"/>
          <w:color w:val="auto"/>
          <w:sz w:val="24"/>
        </w:rPr>
        <w:t>新招标、采用其他方式采购等）。</w:t>
      </w:r>
    </w:p>
    <w:p w14:paraId="110CC86E">
      <w:pPr>
        <w:pStyle w:val="24"/>
        <w:numPr>
          <w:ilvl w:val="1"/>
          <w:numId w:val="31"/>
        </w:numPr>
        <w:tabs>
          <w:tab w:val="left" w:pos="1185"/>
        </w:tabs>
        <w:spacing w:before="0" w:after="0" w:line="304" w:lineRule="exact"/>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投标截止时间后撤销投标的处理</w:t>
      </w:r>
    </w:p>
    <w:p w14:paraId="7C2FE30B">
      <w:pPr>
        <w:spacing w:before="99" w:line="328" w:lineRule="auto"/>
        <w:ind w:left="220" w:right="725" w:firstLine="480"/>
        <w:jc w:val="left"/>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color w:val="auto"/>
          <w:sz w:val="24"/>
        </w:rPr>
        <w:t>投标截止时间后，投标人在投标有效期内撤销投标的，其撤销投标的行为无效。</w:t>
      </w:r>
      <w:bookmarkStart w:id="27" w:name="六、中标与政府采购合同"/>
      <w:bookmarkEnd w:id="27"/>
      <w:r>
        <w:rPr>
          <w:rFonts w:hint="eastAsia" w:asciiTheme="minorEastAsia" w:hAnsiTheme="minorEastAsia" w:eastAsiaTheme="minorEastAsia" w:cstheme="minorEastAsia"/>
          <w:b/>
          <w:color w:val="auto"/>
          <w:sz w:val="24"/>
        </w:rPr>
        <w:t>六、中标与</w:t>
      </w:r>
      <w:r>
        <w:rPr>
          <w:rFonts w:hint="eastAsia" w:asciiTheme="minorEastAsia" w:hAnsiTheme="minorEastAsia" w:eastAsiaTheme="minorEastAsia" w:cstheme="minorEastAsia"/>
          <w:b/>
          <w:color w:val="auto"/>
          <w:sz w:val="24"/>
          <w:lang w:eastAsia="zh-CN"/>
        </w:rPr>
        <w:t>企业采购</w:t>
      </w:r>
      <w:r>
        <w:rPr>
          <w:rFonts w:hint="eastAsia" w:asciiTheme="minorEastAsia" w:hAnsiTheme="minorEastAsia" w:eastAsiaTheme="minorEastAsia" w:cstheme="minorEastAsia"/>
          <w:b/>
          <w:color w:val="auto"/>
          <w:sz w:val="24"/>
        </w:rPr>
        <w:t>合同</w:t>
      </w:r>
    </w:p>
    <w:p w14:paraId="34B64779">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12、中标</w:t>
      </w:r>
    </w:p>
    <w:p w14:paraId="71E98C7D">
      <w:pPr>
        <w:pStyle w:val="24"/>
        <w:numPr>
          <w:ilvl w:val="1"/>
          <w:numId w:val="33"/>
        </w:numPr>
        <w:tabs>
          <w:tab w:val="left" w:pos="1185"/>
        </w:tabs>
        <w:spacing w:before="113" w:after="0" w:line="240" w:lineRule="auto"/>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本项目推荐的中标候选人家数：详见招标文件第二章。</w:t>
      </w:r>
    </w:p>
    <w:p w14:paraId="7BEE6680">
      <w:pPr>
        <w:pStyle w:val="24"/>
        <w:numPr>
          <w:ilvl w:val="1"/>
          <w:numId w:val="33"/>
        </w:numPr>
        <w:tabs>
          <w:tab w:val="left" w:pos="1185"/>
        </w:tabs>
        <w:spacing w:before="112" w:after="0" w:line="240" w:lineRule="auto"/>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本项目中标人的确定：详见招标文件第二章。</w:t>
      </w:r>
    </w:p>
    <w:p w14:paraId="3A3DB016">
      <w:pPr>
        <w:pStyle w:val="24"/>
        <w:numPr>
          <w:ilvl w:val="1"/>
          <w:numId w:val="33"/>
        </w:numPr>
        <w:tabs>
          <w:tab w:val="left" w:pos="1185"/>
        </w:tabs>
        <w:spacing w:before="113" w:after="0" w:line="240" w:lineRule="auto"/>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中标公告</w:t>
      </w:r>
    </w:p>
    <w:p w14:paraId="65A4199D">
      <w:pPr>
        <w:pStyle w:val="24"/>
        <w:numPr>
          <w:ilvl w:val="0"/>
          <w:numId w:val="34"/>
        </w:numPr>
        <w:tabs>
          <w:tab w:val="left" w:pos="1304"/>
        </w:tabs>
        <w:spacing w:before="112" w:after="0" w:line="328"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7"/>
          <w:sz w:val="24"/>
        </w:rPr>
        <w:t xml:space="preserve">中标人确定之日起 </w:t>
      </w:r>
      <w:r>
        <w:rPr>
          <w:rFonts w:hint="eastAsia" w:asciiTheme="minorEastAsia" w:hAnsiTheme="minorEastAsia" w:eastAsiaTheme="minorEastAsia" w:cstheme="minorEastAsia"/>
          <w:color w:val="auto"/>
          <w:sz w:val="24"/>
        </w:rPr>
        <w:t>2</w:t>
      </w:r>
      <w:r>
        <w:rPr>
          <w:rFonts w:hint="eastAsia" w:asciiTheme="minorEastAsia" w:hAnsiTheme="minorEastAsia" w:eastAsiaTheme="minorEastAsia" w:cstheme="minorEastAsia"/>
          <w:color w:val="auto"/>
          <w:spacing w:val="15"/>
          <w:sz w:val="24"/>
        </w:rPr>
        <w:t xml:space="preserve"> </w:t>
      </w:r>
      <w:r>
        <w:rPr>
          <w:rFonts w:hint="eastAsia" w:asciiTheme="minorEastAsia" w:hAnsiTheme="minorEastAsia" w:eastAsiaTheme="minorEastAsia" w:cstheme="minorEastAsia"/>
          <w:color w:val="auto"/>
          <w:spacing w:val="-1"/>
          <w:sz w:val="24"/>
        </w:rPr>
        <w:t>个工作日内，</w:t>
      </w:r>
      <w:r>
        <w:rPr>
          <w:rFonts w:hint="eastAsia" w:asciiTheme="minorEastAsia" w:hAnsiTheme="minorEastAsia" w:eastAsiaTheme="minorEastAsia" w:cstheme="minorEastAsia"/>
          <w:color w:val="auto"/>
          <w:spacing w:val="-1"/>
          <w:sz w:val="24"/>
          <w:lang w:eastAsia="zh-CN"/>
        </w:rPr>
        <w:t>锐驰项目管理有限公司</w:t>
      </w:r>
      <w:r>
        <w:rPr>
          <w:rFonts w:hint="eastAsia" w:asciiTheme="minorEastAsia" w:hAnsiTheme="minorEastAsia" w:eastAsiaTheme="minorEastAsia" w:cstheme="minorEastAsia"/>
          <w:color w:val="auto"/>
          <w:spacing w:val="-1"/>
          <w:sz w:val="24"/>
        </w:rPr>
        <w:t>将在招标文件</w:t>
      </w:r>
      <w:r>
        <w:rPr>
          <w:rFonts w:hint="eastAsia" w:asciiTheme="minorEastAsia" w:hAnsiTheme="minorEastAsia" w:eastAsiaTheme="minorEastAsia" w:cstheme="minorEastAsia"/>
          <w:color w:val="auto"/>
          <w:sz w:val="24"/>
        </w:rPr>
        <w:t>载明的指定媒体以中标公告的形式发布中标结果。</w:t>
      </w:r>
    </w:p>
    <w:p w14:paraId="5E25FAF4">
      <w:pPr>
        <w:pStyle w:val="24"/>
        <w:numPr>
          <w:ilvl w:val="0"/>
          <w:numId w:val="34"/>
        </w:numPr>
        <w:tabs>
          <w:tab w:val="left" w:pos="1301"/>
        </w:tabs>
        <w:spacing w:before="0" w:after="0" w:line="305" w:lineRule="exact"/>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rPr>
        <w:t xml:space="preserve">中标公告的公告期限为 </w:t>
      </w:r>
      <w:r>
        <w:rPr>
          <w:rFonts w:hint="eastAsia" w:asciiTheme="minorEastAsia" w:hAnsiTheme="minorEastAsia" w:eastAsiaTheme="minorEastAsia" w:cstheme="minorEastAsia"/>
          <w:color w:val="auto"/>
          <w:sz w:val="24"/>
        </w:rPr>
        <w:t>1</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z w:val="24"/>
        </w:rPr>
        <w:t>个工作日。</w:t>
      </w:r>
    </w:p>
    <w:p w14:paraId="466A507E">
      <w:pPr>
        <w:pStyle w:val="24"/>
        <w:numPr>
          <w:ilvl w:val="1"/>
          <w:numId w:val="33"/>
        </w:numPr>
        <w:tabs>
          <w:tab w:val="left" w:pos="1185"/>
        </w:tabs>
        <w:spacing w:before="113" w:after="0" w:line="240" w:lineRule="auto"/>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中标通知书</w:t>
      </w:r>
    </w:p>
    <w:p w14:paraId="6D514646">
      <w:pPr>
        <w:pStyle w:val="24"/>
        <w:numPr>
          <w:ilvl w:val="0"/>
          <w:numId w:val="35"/>
        </w:numPr>
        <w:tabs>
          <w:tab w:val="left" w:pos="1304"/>
        </w:tabs>
        <w:spacing w:before="112" w:after="0" w:line="328"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中标公告发布的同时，</w:t>
      </w:r>
      <w:r>
        <w:rPr>
          <w:rFonts w:hint="eastAsia" w:asciiTheme="minorEastAsia" w:hAnsiTheme="minorEastAsia" w:eastAsiaTheme="minorEastAsia" w:cstheme="minorEastAsia"/>
          <w:color w:val="auto"/>
          <w:spacing w:val="-1"/>
          <w:sz w:val="24"/>
          <w:lang w:eastAsia="zh-CN"/>
        </w:rPr>
        <w:t>锐驰项目管理有限公司</w:t>
      </w:r>
      <w:r>
        <w:rPr>
          <w:rFonts w:hint="eastAsia" w:asciiTheme="minorEastAsia" w:hAnsiTheme="minorEastAsia" w:eastAsiaTheme="minorEastAsia" w:cstheme="minorEastAsia"/>
          <w:color w:val="auto"/>
          <w:spacing w:val="-1"/>
          <w:sz w:val="24"/>
        </w:rPr>
        <w:t>将向中标人发出中标通知</w:t>
      </w:r>
      <w:r>
        <w:rPr>
          <w:rFonts w:hint="eastAsia" w:asciiTheme="minorEastAsia" w:hAnsiTheme="minorEastAsia" w:eastAsiaTheme="minorEastAsia" w:cstheme="minorEastAsia"/>
          <w:color w:val="auto"/>
          <w:sz w:val="24"/>
        </w:rPr>
        <w:t>书。</w:t>
      </w:r>
    </w:p>
    <w:p w14:paraId="542C8406">
      <w:pPr>
        <w:pStyle w:val="24"/>
        <w:numPr>
          <w:ilvl w:val="0"/>
          <w:numId w:val="35"/>
        </w:numPr>
        <w:tabs>
          <w:tab w:val="left" w:pos="1304"/>
        </w:tabs>
        <w:spacing w:before="0" w:after="0" w:line="328"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中标通知书发出后，采购人不得违法改变中标结果，中标人无正当理由不得</w:t>
      </w:r>
      <w:r>
        <w:rPr>
          <w:rFonts w:hint="eastAsia" w:asciiTheme="minorEastAsia" w:hAnsiTheme="minorEastAsia" w:eastAsiaTheme="minorEastAsia" w:cstheme="minorEastAsia"/>
          <w:color w:val="auto"/>
          <w:sz w:val="24"/>
        </w:rPr>
        <w:t>放弃中标。</w:t>
      </w:r>
    </w:p>
    <w:p w14:paraId="6CB31F65">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13、</w:t>
      </w:r>
      <w:r>
        <w:rPr>
          <w:rFonts w:hint="eastAsia" w:asciiTheme="minorEastAsia" w:hAnsiTheme="minorEastAsia" w:eastAsiaTheme="minorEastAsia" w:cstheme="minorEastAsia"/>
          <w:color w:val="auto"/>
          <w:lang w:eastAsia="zh-CN"/>
        </w:rPr>
        <w:t>企业采购</w:t>
      </w:r>
      <w:r>
        <w:rPr>
          <w:rFonts w:hint="eastAsia" w:asciiTheme="minorEastAsia" w:hAnsiTheme="minorEastAsia" w:eastAsiaTheme="minorEastAsia" w:cstheme="minorEastAsia"/>
          <w:color w:val="auto"/>
        </w:rPr>
        <w:t>合同</w:t>
      </w:r>
    </w:p>
    <w:p w14:paraId="5EA21F37">
      <w:pPr>
        <w:pStyle w:val="24"/>
        <w:numPr>
          <w:ilvl w:val="1"/>
          <w:numId w:val="36"/>
        </w:numPr>
        <w:tabs>
          <w:tab w:val="left" w:pos="1185"/>
        </w:tabs>
        <w:spacing w:before="110"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rPr>
        <w:t>签订</w:t>
      </w:r>
      <w:r>
        <w:rPr>
          <w:rFonts w:hint="eastAsia" w:asciiTheme="minorEastAsia" w:hAnsiTheme="minorEastAsia" w:eastAsiaTheme="minorEastAsia" w:cstheme="minorEastAsia"/>
          <w:color w:val="auto"/>
          <w:spacing w:val="-5"/>
          <w:sz w:val="24"/>
          <w:lang w:eastAsia="zh-CN"/>
        </w:rPr>
        <w:t>企业采购</w:t>
      </w:r>
      <w:r>
        <w:rPr>
          <w:rFonts w:hint="eastAsia" w:asciiTheme="minorEastAsia" w:hAnsiTheme="minorEastAsia" w:eastAsiaTheme="minorEastAsia" w:cstheme="minorEastAsia"/>
          <w:color w:val="auto"/>
          <w:spacing w:val="-5"/>
          <w:sz w:val="24"/>
        </w:rPr>
        <w:t>合同的规定，不得对招标文件确定</w:t>
      </w:r>
      <w:r>
        <w:rPr>
          <w:rFonts w:hint="eastAsia" w:asciiTheme="minorEastAsia" w:hAnsiTheme="minorEastAsia" w:eastAsiaTheme="minorEastAsia" w:cstheme="minorEastAsia"/>
          <w:color w:val="auto"/>
          <w:spacing w:val="-6"/>
          <w:sz w:val="24"/>
        </w:rPr>
        <w:t>的事项和中标人的投标文件作实质性修改。采购人不得向中标人提出任何不合理的要求</w:t>
      </w:r>
      <w:r>
        <w:rPr>
          <w:rFonts w:hint="eastAsia" w:asciiTheme="minorEastAsia" w:hAnsiTheme="minorEastAsia" w:eastAsiaTheme="minorEastAsia" w:cstheme="minorEastAsia"/>
          <w:color w:val="auto"/>
          <w:sz w:val="24"/>
        </w:rPr>
        <w:t>作为</w:t>
      </w:r>
      <w:r>
        <w:rPr>
          <w:rFonts w:hint="eastAsia" w:asciiTheme="minorEastAsia" w:hAnsiTheme="minorEastAsia" w:eastAsiaTheme="minorEastAsia" w:cstheme="minorEastAsia"/>
          <w:color w:val="auto"/>
          <w:sz w:val="24"/>
          <w:lang w:eastAsia="zh-CN"/>
        </w:rPr>
        <w:t>企业采购</w:t>
      </w:r>
      <w:r>
        <w:rPr>
          <w:rFonts w:hint="eastAsia" w:asciiTheme="minorEastAsia" w:hAnsiTheme="minorEastAsia" w:eastAsiaTheme="minorEastAsia" w:cstheme="minorEastAsia"/>
          <w:color w:val="auto"/>
          <w:sz w:val="24"/>
        </w:rPr>
        <w:t>合同的签订条件。</w:t>
      </w:r>
    </w:p>
    <w:p w14:paraId="1E7F5CE6">
      <w:pPr>
        <w:pStyle w:val="24"/>
        <w:numPr>
          <w:ilvl w:val="1"/>
          <w:numId w:val="36"/>
        </w:numPr>
        <w:tabs>
          <w:tab w:val="left" w:pos="1185"/>
        </w:tabs>
        <w:spacing w:before="0" w:after="0" w:line="304" w:lineRule="exact"/>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rPr>
        <w:t xml:space="preserve">签订时限：详见须知前附表 </w:t>
      </w:r>
      <w:r>
        <w:rPr>
          <w:rFonts w:hint="eastAsia" w:asciiTheme="minorEastAsia" w:hAnsiTheme="minorEastAsia" w:eastAsiaTheme="minorEastAsia" w:cstheme="minorEastAsia"/>
          <w:color w:val="auto"/>
          <w:sz w:val="24"/>
        </w:rPr>
        <w:t>1</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pacing w:val="-30"/>
          <w:sz w:val="24"/>
        </w:rPr>
        <w:t xml:space="preserve">的 </w:t>
      </w:r>
      <w:r>
        <w:rPr>
          <w:rFonts w:hint="eastAsia" w:asciiTheme="minorEastAsia" w:hAnsiTheme="minorEastAsia" w:eastAsiaTheme="minorEastAsia" w:cstheme="minorEastAsia"/>
          <w:color w:val="auto"/>
          <w:sz w:val="24"/>
        </w:rPr>
        <w:t>13.2。</w:t>
      </w:r>
    </w:p>
    <w:p w14:paraId="0FBC1B2E">
      <w:pPr>
        <w:pStyle w:val="24"/>
        <w:numPr>
          <w:ilvl w:val="1"/>
          <w:numId w:val="36"/>
        </w:numPr>
        <w:tabs>
          <w:tab w:val="left" w:pos="1185"/>
        </w:tabs>
        <w:spacing w:before="39" w:after="0" w:line="240" w:lineRule="auto"/>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eastAsia="zh-CN"/>
        </w:rPr>
        <w:t>企业采购</w:t>
      </w:r>
      <w:r>
        <w:rPr>
          <w:rFonts w:hint="eastAsia" w:asciiTheme="minorEastAsia" w:hAnsiTheme="minorEastAsia" w:eastAsiaTheme="minorEastAsia" w:cstheme="minorEastAsia"/>
          <w:color w:val="auto"/>
          <w:sz w:val="24"/>
        </w:rPr>
        <w:t>合同的履行、违约责任和解决争议的方法等适用民法典。</w:t>
      </w:r>
    </w:p>
    <w:p w14:paraId="3BABBB54">
      <w:pPr>
        <w:pStyle w:val="24"/>
        <w:numPr>
          <w:ilvl w:val="1"/>
          <w:numId w:val="36"/>
        </w:numPr>
        <w:tabs>
          <w:tab w:val="left" w:pos="1185"/>
        </w:tabs>
        <w:spacing w:before="112" w:after="0" w:line="240" w:lineRule="auto"/>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采购人与中标人应根据</w:t>
      </w:r>
      <w:r>
        <w:rPr>
          <w:rFonts w:hint="eastAsia" w:asciiTheme="minorEastAsia" w:hAnsiTheme="minorEastAsia" w:eastAsiaTheme="minorEastAsia" w:cstheme="minorEastAsia"/>
          <w:color w:val="auto"/>
          <w:sz w:val="24"/>
          <w:lang w:eastAsia="zh-CN"/>
        </w:rPr>
        <w:t>企业采购</w:t>
      </w:r>
      <w:r>
        <w:rPr>
          <w:rFonts w:hint="eastAsia" w:asciiTheme="minorEastAsia" w:hAnsiTheme="minorEastAsia" w:eastAsiaTheme="minorEastAsia" w:cstheme="minorEastAsia"/>
          <w:color w:val="auto"/>
          <w:sz w:val="24"/>
        </w:rPr>
        <w:t>合同的约定依法履行合同义务。</w:t>
      </w:r>
    </w:p>
    <w:p w14:paraId="005296E7">
      <w:pPr>
        <w:pStyle w:val="24"/>
        <w:numPr>
          <w:ilvl w:val="1"/>
          <w:numId w:val="36"/>
        </w:numPr>
        <w:tabs>
          <w:tab w:val="left" w:pos="1185"/>
        </w:tabs>
        <w:spacing w:before="113" w:after="0" w:line="328"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8"/>
          <w:sz w:val="24"/>
          <w:lang w:eastAsia="zh-CN"/>
        </w:rPr>
        <w:t>企业采购</w:t>
      </w:r>
      <w:r>
        <w:rPr>
          <w:rFonts w:hint="eastAsia" w:asciiTheme="minorEastAsia" w:hAnsiTheme="minorEastAsia" w:eastAsiaTheme="minorEastAsia" w:cstheme="minorEastAsia"/>
          <w:color w:val="auto"/>
          <w:spacing w:val="-8"/>
          <w:sz w:val="24"/>
        </w:rPr>
        <w:t>合同履行过程中，采购人若需追加与合同标的相同的货物或服务，则</w:t>
      </w:r>
      <w:r>
        <w:rPr>
          <w:rFonts w:hint="eastAsia" w:asciiTheme="minorEastAsia" w:hAnsiTheme="minorEastAsia" w:eastAsiaTheme="minorEastAsia" w:cstheme="minorEastAsia"/>
          <w:color w:val="auto"/>
          <w:spacing w:val="-4"/>
          <w:sz w:val="24"/>
        </w:rPr>
        <w:t xml:space="preserve">追加采购金额不得超过原合同采购金额的 </w:t>
      </w:r>
      <w:r>
        <w:rPr>
          <w:rFonts w:hint="eastAsia" w:asciiTheme="minorEastAsia" w:hAnsiTheme="minorEastAsia" w:eastAsiaTheme="minorEastAsia" w:cstheme="minorEastAsia"/>
          <w:color w:val="auto"/>
          <w:sz w:val="24"/>
        </w:rPr>
        <w:t>10%。</w:t>
      </w:r>
    </w:p>
    <w:p w14:paraId="77C6E55D">
      <w:pPr>
        <w:pStyle w:val="24"/>
        <w:numPr>
          <w:ilvl w:val="1"/>
          <w:numId w:val="36"/>
        </w:numPr>
        <w:tabs>
          <w:tab w:val="left" w:pos="1185"/>
        </w:tabs>
        <w:spacing w:before="0" w:after="0" w:line="305" w:lineRule="exact"/>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rPr>
        <w:t>中标人在</w:t>
      </w:r>
      <w:r>
        <w:rPr>
          <w:rFonts w:hint="eastAsia" w:asciiTheme="minorEastAsia" w:hAnsiTheme="minorEastAsia" w:eastAsiaTheme="minorEastAsia" w:cstheme="minorEastAsia"/>
          <w:color w:val="auto"/>
          <w:spacing w:val="-5"/>
          <w:sz w:val="24"/>
          <w:lang w:eastAsia="zh-CN"/>
        </w:rPr>
        <w:t>企业采购</w:t>
      </w:r>
      <w:r>
        <w:rPr>
          <w:rFonts w:hint="eastAsia" w:asciiTheme="minorEastAsia" w:hAnsiTheme="minorEastAsia" w:eastAsiaTheme="minorEastAsia" w:cstheme="minorEastAsia"/>
          <w:color w:val="auto"/>
          <w:spacing w:val="-5"/>
          <w:sz w:val="24"/>
        </w:rPr>
        <w:t>合同履行过程中应遵守有关法律、法规和规章的强制性规定</w:t>
      </w:r>
    </w:p>
    <w:p w14:paraId="3BB4907A">
      <w:pPr>
        <w:spacing w:before="112" w:line="328" w:lineRule="auto"/>
        <w:ind w:left="2380" w:leftChars="100" w:right="3605" w:hanging="2160" w:hangingChars="9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（即使前述强制性规定有可能在招标文件中未予列明</w:t>
      </w:r>
      <w:bookmarkStart w:id="28" w:name="七、询问、质疑与投诉"/>
      <w:bookmarkEnd w:id="28"/>
    </w:p>
    <w:p w14:paraId="564704EC">
      <w:pPr>
        <w:spacing w:before="112" w:line="328" w:lineRule="auto"/>
        <w:ind w:left="2388" w:leftChars="100" w:right="3605" w:hanging="2168" w:hangingChars="900"/>
        <w:jc w:val="left"/>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b/>
          <w:color w:val="auto"/>
          <w:sz w:val="24"/>
        </w:rPr>
        <w:t>七、询问、质疑与投诉</w:t>
      </w:r>
    </w:p>
    <w:p w14:paraId="0E4E02A1">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14、询问</w:t>
      </w:r>
    </w:p>
    <w:p w14:paraId="377FE271">
      <w:pPr>
        <w:pStyle w:val="6"/>
        <w:spacing w:before="113"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14.1 </w:t>
      </w:r>
      <w:r>
        <w:rPr>
          <w:rFonts w:hint="eastAsia" w:asciiTheme="minorEastAsia" w:hAnsiTheme="minorEastAsia" w:eastAsiaTheme="minorEastAsia" w:cstheme="minorEastAsia"/>
          <w:color w:val="auto"/>
          <w:spacing w:val="-5"/>
        </w:rPr>
        <w:t>潜在投标人或投标人对本次采购活动的有关事项若有疑问，可向</w:t>
      </w:r>
      <w:r>
        <w:rPr>
          <w:rFonts w:hint="eastAsia" w:asciiTheme="minorEastAsia" w:hAnsiTheme="minorEastAsia" w:eastAsiaTheme="minorEastAsia" w:cstheme="minorEastAsia"/>
          <w:color w:val="auto"/>
          <w:spacing w:val="-5"/>
          <w:lang w:eastAsia="zh-CN"/>
        </w:rPr>
        <w:t>锐驰项目管理有限公司</w:t>
      </w:r>
      <w:r>
        <w:rPr>
          <w:rFonts w:hint="eastAsia" w:asciiTheme="minorEastAsia" w:hAnsiTheme="minorEastAsia" w:eastAsiaTheme="minorEastAsia" w:cstheme="minorEastAsia"/>
          <w:color w:val="auto"/>
          <w:spacing w:val="-10"/>
        </w:rPr>
        <w:t>提出询问，</w:t>
      </w:r>
      <w:r>
        <w:rPr>
          <w:rFonts w:hint="eastAsia" w:asciiTheme="minorEastAsia" w:hAnsiTheme="minorEastAsia" w:eastAsiaTheme="minorEastAsia" w:cstheme="minorEastAsia"/>
          <w:color w:val="auto"/>
          <w:spacing w:val="-10"/>
          <w:lang w:eastAsia="zh-CN"/>
        </w:rPr>
        <w:t>锐驰项目管理有限公司</w:t>
      </w:r>
      <w:r>
        <w:rPr>
          <w:rFonts w:hint="eastAsia" w:asciiTheme="minorEastAsia" w:hAnsiTheme="minorEastAsia" w:eastAsiaTheme="minorEastAsia" w:cstheme="minorEastAsia"/>
          <w:color w:val="auto"/>
          <w:spacing w:val="-10"/>
        </w:rPr>
        <w:t>将</w:t>
      </w:r>
      <w:r>
        <w:rPr>
          <w:rFonts w:hint="eastAsia" w:asciiTheme="minorEastAsia" w:hAnsiTheme="minorEastAsia" w:eastAsiaTheme="minorEastAsia" w:cstheme="minorEastAsia"/>
          <w:color w:val="auto"/>
          <w:spacing w:val="-10"/>
          <w:lang w:eastAsia="zh-CN"/>
        </w:rPr>
        <w:t>参照</w:t>
      </w:r>
      <w:r>
        <w:rPr>
          <w:rFonts w:hint="eastAsia" w:asciiTheme="minorEastAsia" w:hAnsiTheme="minorEastAsia" w:eastAsiaTheme="minorEastAsia" w:cstheme="minorEastAsia"/>
          <w:color w:val="auto"/>
          <w:spacing w:val="-10"/>
        </w:rPr>
        <w:t>政府采购法及实施条例的有</w:t>
      </w:r>
      <w:r>
        <w:rPr>
          <w:rFonts w:hint="eastAsia" w:asciiTheme="minorEastAsia" w:hAnsiTheme="minorEastAsia" w:eastAsiaTheme="minorEastAsia" w:cstheme="minorEastAsia"/>
          <w:color w:val="auto"/>
        </w:rPr>
        <w:t>关规定进行答复。</w:t>
      </w:r>
    </w:p>
    <w:p w14:paraId="6BA2F324">
      <w:pPr>
        <w:pStyle w:val="6"/>
        <w:spacing w:line="304"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15、质疑</w:t>
      </w:r>
    </w:p>
    <w:p w14:paraId="1CE96755">
      <w:pPr>
        <w:pStyle w:val="24"/>
        <w:numPr>
          <w:ilvl w:val="1"/>
          <w:numId w:val="37"/>
        </w:numPr>
        <w:tabs>
          <w:tab w:val="left" w:pos="1190"/>
        </w:tabs>
        <w:spacing w:before="112"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针对同一采购程序环节的质疑应在政府采购法及实施条例的时限内一次性提</w:t>
      </w:r>
      <w:r>
        <w:rPr>
          <w:rFonts w:hint="eastAsia" w:asciiTheme="minorEastAsia" w:hAnsiTheme="minorEastAsia" w:eastAsiaTheme="minorEastAsia" w:cstheme="minorEastAsia"/>
          <w:color w:val="auto"/>
          <w:spacing w:val="-11"/>
          <w:sz w:val="24"/>
        </w:rPr>
        <w:t>出，对一个项目的不同采购包提出质疑的，应当将各采购包质疑事项集中在一份质疑函</w:t>
      </w:r>
      <w:r>
        <w:rPr>
          <w:rFonts w:hint="eastAsia" w:asciiTheme="minorEastAsia" w:hAnsiTheme="minorEastAsia" w:eastAsiaTheme="minorEastAsia" w:cstheme="minorEastAsia"/>
          <w:color w:val="auto"/>
          <w:sz w:val="24"/>
        </w:rPr>
        <w:t>中提出，并同时符合下列条件：</w:t>
      </w:r>
    </w:p>
    <w:p w14:paraId="49269DA8">
      <w:pPr>
        <w:pStyle w:val="24"/>
        <w:numPr>
          <w:ilvl w:val="0"/>
          <w:numId w:val="38"/>
        </w:numPr>
        <w:tabs>
          <w:tab w:val="left" w:pos="1304"/>
        </w:tabs>
        <w:spacing w:before="0"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对招标文件提出质疑的，质疑人应为潜在投标人，且两者的身份、名称等均</w:t>
      </w:r>
      <w:r>
        <w:rPr>
          <w:rFonts w:hint="eastAsia" w:asciiTheme="minorEastAsia" w:hAnsiTheme="minorEastAsia" w:eastAsiaTheme="minorEastAsia" w:cstheme="minorEastAsia"/>
          <w:color w:val="auto"/>
          <w:spacing w:val="-10"/>
          <w:sz w:val="24"/>
        </w:rPr>
        <w:t>应保持一致。对采购过程、结果提出质疑的，质疑人应为投标人，且两者的身份、名称</w:t>
      </w:r>
      <w:r>
        <w:rPr>
          <w:rFonts w:hint="eastAsia" w:asciiTheme="minorEastAsia" w:hAnsiTheme="minorEastAsia" w:eastAsiaTheme="minorEastAsia" w:cstheme="minorEastAsia"/>
          <w:color w:val="auto"/>
          <w:sz w:val="24"/>
        </w:rPr>
        <w:t>等均应保持一致。</w:t>
      </w:r>
    </w:p>
    <w:p w14:paraId="29CDDB18">
      <w:pPr>
        <w:pStyle w:val="24"/>
        <w:numPr>
          <w:ilvl w:val="0"/>
          <w:numId w:val="38"/>
        </w:numPr>
        <w:tabs>
          <w:tab w:val="left" w:pos="1301"/>
        </w:tabs>
        <w:spacing w:before="0" w:after="0" w:line="304" w:lineRule="exact"/>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质疑人应按照招标文件第二章规定方式提交质疑函。</w:t>
      </w:r>
    </w:p>
    <w:p w14:paraId="3CC8F508">
      <w:pPr>
        <w:pStyle w:val="24"/>
        <w:numPr>
          <w:ilvl w:val="0"/>
          <w:numId w:val="38"/>
        </w:numPr>
        <w:tabs>
          <w:tab w:val="left" w:pos="1301"/>
        </w:tabs>
        <w:spacing w:before="109"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质疑函应包括下列主要内容：</w:t>
      </w:r>
    </w:p>
    <w:p w14:paraId="298CBDBD">
      <w:pPr>
        <w:pStyle w:val="6"/>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①质疑人的基本信息，至少包括：全称、地址、邮政编码等；</w:t>
      </w:r>
    </w:p>
    <w:p w14:paraId="66A04A9B">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②所质疑项目的基本信息，至少包括：项目编号、项目名称等；</w:t>
      </w:r>
    </w:p>
    <w:p w14:paraId="0036D182">
      <w:pPr>
        <w:pStyle w:val="6"/>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③所质疑的具体事项（以下简称：“质疑事项”）；</w:t>
      </w:r>
    </w:p>
    <w:p w14:paraId="66963EBB">
      <w:pPr>
        <w:pStyle w:val="6"/>
        <w:spacing w:before="113"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8"/>
        </w:rPr>
        <w:t>④针对质疑事项提出的明确请求，前述明确请求指质疑人提出质疑的目的以及希望</w:t>
      </w:r>
      <w:r>
        <w:rPr>
          <w:rFonts w:hint="eastAsia" w:asciiTheme="minorEastAsia" w:hAnsiTheme="minorEastAsia" w:eastAsiaTheme="minorEastAsia" w:cstheme="minorEastAsia"/>
          <w:color w:val="auto"/>
          <w:spacing w:val="-6"/>
          <w:lang w:eastAsia="zh-CN"/>
        </w:rPr>
        <w:t>锐驰项目管理有限公司</w:t>
      </w:r>
      <w:r>
        <w:rPr>
          <w:rFonts w:hint="eastAsia" w:asciiTheme="minorEastAsia" w:hAnsiTheme="minorEastAsia" w:eastAsiaTheme="minorEastAsia" w:cstheme="minorEastAsia"/>
          <w:color w:val="auto"/>
          <w:spacing w:val="-6"/>
        </w:rPr>
        <w:t>对其质疑作出的处理结果，如：暂停招标投标活动、修改招</w:t>
      </w:r>
      <w:r>
        <w:rPr>
          <w:rFonts w:hint="eastAsia" w:asciiTheme="minorEastAsia" w:hAnsiTheme="minorEastAsia" w:eastAsiaTheme="minorEastAsia" w:cstheme="minorEastAsia"/>
          <w:color w:val="auto"/>
        </w:rPr>
        <w:t>标文件、停止或纠正违法违规行为、中标结果无效、废标、重新招标等；</w:t>
      </w:r>
    </w:p>
    <w:p w14:paraId="1A6B74B3">
      <w:pPr>
        <w:pStyle w:val="6"/>
        <w:spacing w:line="304"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⑤针对质疑事项导致质疑人自身权益受到损害的必要证明材料，至少包括：</w:t>
      </w:r>
    </w:p>
    <w:p w14:paraId="785641CA">
      <w:pPr>
        <w:pStyle w:val="24"/>
        <w:numPr>
          <w:ilvl w:val="0"/>
          <w:numId w:val="39"/>
        </w:numPr>
        <w:tabs>
          <w:tab w:val="left" w:pos="877"/>
        </w:tabs>
        <w:spacing w:before="112" w:after="0" w:line="240" w:lineRule="auto"/>
        <w:ind w:left="876" w:right="0" w:hanging="176"/>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质疑人代表的身份证明材料：</w:t>
      </w:r>
    </w:p>
    <w:p w14:paraId="08BEB204">
      <w:pPr>
        <w:pStyle w:val="6"/>
        <w:spacing w:before="113"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a1</w:t>
      </w:r>
      <w:r>
        <w:rPr>
          <w:rFonts w:hint="eastAsia" w:asciiTheme="minorEastAsia" w:hAnsiTheme="minorEastAsia" w:eastAsiaTheme="minorEastAsia" w:cstheme="minorEastAsia"/>
          <w:color w:val="auto"/>
          <w:spacing w:val="52"/>
        </w:rPr>
        <w:t xml:space="preserve"> </w:t>
      </w:r>
      <w:r>
        <w:rPr>
          <w:rFonts w:hint="eastAsia" w:asciiTheme="minorEastAsia" w:hAnsiTheme="minorEastAsia" w:eastAsiaTheme="minorEastAsia" w:cstheme="minorEastAsia"/>
          <w:color w:val="auto"/>
        </w:rPr>
        <w:t>质疑人为法人或其他组织的，提供统一社会信用代码营业执照等证明文件的副</w:t>
      </w:r>
      <w:r>
        <w:rPr>
          <w:rFonts w:hint="eastAsia" w:asciiTheme="minorEastAsia" w:hAnsiTheme="minorEastAsia" w:eastAsiaTheme="minorEastAsia" w:cstheme="minorEastAsia"/>
          <w:color w:val="auto"/>
          <w:spacing w:val="-10"/>
        </w:rPr>
        <w:t>本复印件、单位负责人的身份证复印件；质疑人代表为委托代理人的，还应同时提供单</w:t>
      </w:r>
      <w:r>
        <w:rPr>
          <w:rFonts w:hint="eastAsia" w:asciiTheme="minorEastAsia" w:hAnsiTheme="minorEastAsia" w:eastAsiaTheme="minorEastAsia" w:cstheme="minorEastAsia"/>
          <w:color w:val="auto"/>
          <w:spacing w:val="-4"/>
        </w:rPr>
        <w:t>位负责人授权书</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6"/>
        </w:rPr>
        <w:t>应载明代理人的姓名或者名称、代理事项、具体权限、期限和相关事</w:t>
      </w:r>
      <w:r>
        <w:rPr>
          <w:rFonts w:hint="eastAsia" w:asciiTheme="minorEastAsia" w:hAnsiTheme="minorEastAsia" w:eastAsiaTheme="minorEastAsia" w:cstheme="minorEastAsia"/>
          <w:color w:val="auto"/>
          <w:spacing w:val="-8"/>
        </w:rPr>
        <w:t>项，授权书应由单位负责人签字或盖章，并加盖投标人的单位公章</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spacing w:val="-2"/>
        </w:rPr>
        <w:t>和委托代理人的身</w:t>
      </w:r>
      <w:r>
        <w:rPr>
          <w:rFonts w:hint="eastAsia" w:asciiTheme="minorEastAsia" w:hAnsiTheme="minorEastAsia" w:eastAsiaTheme="minorEastAsia" w:cstheme="minorEastAsia"/>
          <w:color w:val="auto"/>
        </w:rPr>
        <w:t>份证复印件。</w:t>
      </w:r>
    </w:p>
    <w:p w14:paraId="11D61B02">
      <w:pPr>
        <w:pStyle w:val="6"/>
        <w:spacing w:before="39"/>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a2 若本项目接受自然人投标且质疑人为自然人的，提供本人的身份证复印件。</w:t>
      </w:r>
    </w:p>
    <w:p w14:paraId="1C63388D">
      <w:pPr>
        <w:pStyle w:val="24"/>
        <w:numPr>
          <w:ilvl w:val="0"/>
          <w:numId w:val="39"/>
        </w:numPr>
        <w:tabs>
          <w:tab w:val="left" w:pos="889"/>
        </w:tabs>
        <w:spacing w:before="112" w:after="0" w:line="240" w:lineRule="auto"/>
        <w:ind w:left="888" w:right="0" w:hanging="188"/>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其他证明材料（即事实依据和必要的法律依据）包括但不限于下列材料：</w:t>
      </w:r>
    </w:p>
    <w:p w14:paraId="029A52E1">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b1 所质疑的具体事项是与自己有利害关系的证明材料；</w:t>
      </w:r>
    </w:p>
    <w:p w14:paraId="0E33F40C">
      <w:pPr>
        <w:pStyle w:val="6"/>
        <w:spacing w:before="112"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b2 质疑函所述事实存在的证明材料，如：采购文件、采购过程或中标结果违法违规或不符合采购文件要求等证明材料；</w:t>
      </w:r>
    </w:p>
    <w:p w14:paraId="7641AF44">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b3 依法应终止采购程序的证明材料；</w:t>
      </w:r>
    </w:p>
    <w:p w14:paraId="364DFC41">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b4 应重新采购的证明材料；</w:t>
      </w:r>
    </w:p>
    <w:p w14:paraId="48553A47">
      <w:pPr>
        <w:pStyle w:val="6"/>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b5 采购文件、采购过程或中标、成交结果损害自己合法权益的证明材料等；</w:t>
      </w:r>
    </w:p>
    <w:p w14:paraId="77DC257B">
      <w:pPr>
        <w:pStyle w:val="6"/>
        <w:spacing w:before="113"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b6 若质疑的具体事项按照有关法律、法规和规章规定处于保密阶段，则应提供信</w:t>
      </w:r>
      <w:r>
        <w:rPr>
          <w:rFonts w:hint="eastAsia" w:asciiTheme="minorEastAsia" w:hAnsiTheme="minorEastAsia" w:eastAsiaTheme="minorEastAsia" w:cstheme="minorEastAsia"/>
          <w:color w:val="auto"/>
          <w:spacing w:val="-5"/>
        </w:rPr>
        <w:t>息或证明材料为合法或公开渠道获得的有效证据</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2"/>
        </w:rPr>
        <w:t>若证据无法有效表明信息或证明材料</w:t>
      </w:r>
      <w:r>
        <w:rPr>
          <w:rFonts w:hint="eastAsia" w:asciiTheme="minorEastAsia" w:hAnsiTheme="minorEastAsia" w:eastAsiaTheme="minorEastAsia" w:cstheme="minorEastAsia"/>
          <w:color w:val="auto"/>
        </w:rPr>
        <w:t>为合法或公开渠道获得，则前述信息或证明材料视为无效）。</w:t>
      </w:r>
    </w:p>
    <w:p w14:paraId="70A7594E">
      <w:pPr>
        <w:pStyle w:val="6"/>
        <w:spacing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7"/>
        </w:rPr>
        <w:t>⑥质疑人代表及其联系方法的信息，至少包括：姓名、手机、电子信箱、邮寄地址</w:t>
      </w:r>
      <w:r>
        <w:rPr>
          <w:rFonts w:hint="eastAsia" w:asciiTheme="minorEastAsia" w:hAnsiTheme="minorEastAsia" w:eastAsiaTheme="minorEastAsia" w:cstheme="minorEastAsia"/>
          <w:color w:val="auto"/>
        </w:rPr>
        <w:t>等。</w:t>
      </w:r>
    </w:p>
    <w:p w14:paraId="043021C9">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⑦提出质疑的日期。</w:t>
      </w:r>
    </w:p>
    <w:p w14:paraId="050D04EF">
      <w:pPr>
        <w:pStyle w:val="6"/>
        <w:spacing w:before="108" w:line="328" w:lineRule="auto"/>
        <w:ind w:right="485"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※质疑人为法人或其他组织的，质疑函应由单位负责人或委托代理人签字或盖章， 并加盖投标人的单位公章。质疑人为自然人的，质疑函应由本人签字。</w:t>
      </w:r>
    </w:p>
    <w:p w14:paraId="61B7C2DB">
      <w:pPr>
        <w:pStyle w:val="24"/>
        <w:numPr>
          <w:ilvl w:val="1"/>
          <w:numId w:val="37"/>
        </w:numPr>
        <w:tabs>
          <w:tab w:val="left" w:pos="1185"/>
        </w:tabs>
        <w:spacing w:before="0" w:after="0" w:line="305" w:lineRule="exact"/>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8"/>
          <w:sz w:val="24"/>
        </w:rPr>
        <w:t xml:space="preserve">对不符合本章第 </w:t>
      </w:r>
      <w:r>
        <w:rPr>
          <w:rFonts w:hint="eastAsia" w:asciiTheme="minorEastAsia" w:hAnsiTheme="minorEastAsia" w:eastAsiaTheme="minorEastAsia" w:cstheme="minorEastAsia"/>
          <w:color w:val="auto"/>
          <w:sz w:val="24"/>
        </w:rPr>
        <w:t>15.1</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z w:val="24"/>
        </w:rPr>
        <w:t>条规定的质疑，将按照下列规定进行处理：</w:t>
      </w:r>
    </w:p>
    <w:p w14:paraId="1034A134">
      <w:pPr>
        <w:pStyle w:val="24"/>
        <w:numPr>
          <w:ilvl w:val="0"/>
          <w:numId w:val="40"/>
        </w:numPr>
        <w:tabs>
          <w:tab w:val="left" w:pos="1301"/>
        </w:tabs>
        <w:spacing w:before="113"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不符合其中第（1）、（2）条规定的，书面告知质疑人不予受理及其理由。</w:t>
      </w:r>
    </w:p>
    <w:p w14:paraId="571A2E3F">
      <w:pPr>
        <w:pStyle w:val="24"/>
        <w:numPr>
          <w:ilvl w:val="0"/>
          <w:numId w:val="40"/>
        </w:numPr>
        <w:tabs>
          <w:tab w:val="left" w:pos="1301"/>
        </w:tabs>
        <w:spacing w:before="112" w:after="0" w:line="328"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3"/>
          <w:sz w:val="24"/>
        </w:rPr>
        <w:t>不符合其中第</w:t>
      </w:r>
      <w:r>
        <w:rPr>
          <w:rFonts w:hint="eastAsia" w:asciiTheme="minorEastAsia" w:hAnsiTheme="minorEastAsia" w:eastAsiaTheme="minorEastAsia" w:cstheme="minorEastAsia"/>
          <w:color w:val="auto"/>
          <w:spacing w:val="-8"/>
          <w:sz w:val="24"/>
        </w:rPr>
        <w:t>（3）</w:t>
      </w:r>
      <w:r>
        <w:rPr>
          <w:rFonts w:hint="eastAsia" w:asciiTheme="minorEastAsia" w:hAnsiTheme="minorEastAsia" w:eastAsiaTheme="minorEastAsia" w:cstheme="minorEastAsia"/>
          <w:color w:val="auto"/>
          <w:spacing w:val="-7"/>
          <w:sz w:val="24"/>
        </w:rPr>
        <w:t>条规定的，书面告知质疑人修改、补充后在规定时限内重</w:t>
      </w:r>
      <w:r>
        <w:rPr>
          <w:rFonts w:hint="eastAsia" w:asciiTheme="minorEastAsia" w:hAnsiTheme="minorEastAsia" w:eastAsiaTheme="minorEastAsia" w:cstheme="minorEastAsia"/>
          <w:color w:val="auto"/>
          <w:sz w:val="24"/>
        </w:rPr>
        <w:t>新提交质疑函。</w:t>
      </w:r>
    </w:p>
    <w:p w14:paraId="654CADAA">
      <w:pPr>
        <w:pStyle w:val="24"/>
        <w:numPr>
          <w:ilvl w:val="1"/>
          <w:numId w:val="37"/>
        </w:numPr>
        <w:tabs>
          <w:tab w:val="left" w:pos="1188"/>
        </w:tabs>
        <w:spacing w:before="0" w:after="0" w:line="328"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rPr>
        <w:t xml:space="preserve">对符合本章第 </w:t>
      </w:r>
      <w:r>
        <w:rPr>
          <w:rFonts w:hint="eastAsia" w:asciiTheme="minorEastAsia" w:hAnsiTheme="minorEastAsia" w:eastAsiaTheme="minorEastAsia" w:cstheme="minorEastAsia"/>
          <w:color w:val="auto"/>
          <w:sz w:val="24"/>
        </w:rPr>
        <w:t>15.1</w:t>
      </w:r>
      <w:r>
        <w:rPr>
          <w:rFonts w:hint="eastAsia" w:asciiTheme="minorEastAsia" w:hAnsiTheme="minorEastAsia" w:eastAsiaTheme="minorEastAsia" w:cstheme="minorEastAsia"/>
          <w:color w:val="auto"/>
          <w:spacing w:val="30"/>
          <w:sz w:val="24"/>
        </w:rPr>
        <w:t xml:space="preserve"> </w:t>
      </w:r>
      <w:r>
        <w:rPr>
          <w:rFonts w:hint="eastAsia" w:asciiTheme="minorEastAsia" w:hAnsiTheme="minorEastAsia" w:eastAsiaTheme="minorEastAsia" w:cstheme="minorEastAsia"/>
          <w:color w:val="auto"/>
          <w:sz w:val="24"/>
        </w:rPr>
        <w:t>条规定的质疑，将</w:t>
      </w:r>
      <w:r>
        <w:rPr>
          <w:rFonts w:hint="eastAsia" w:asciiTheme="minorEastAsia" w:hAnsiTheme="minorEastAsia" w:eastAsiaTheme="minorEastAsia" w:cstheme="minorEastAsia"/>
          <w:color w:val="auto"/>
          <w:sz w:val="24"/>
          <w:lang w:eastAsia="zh-CN"/>
        </w:rPr>
        <w:t>参照</w:t>
      </w:r>
      <w:r>
        <w:rPr>
          <w:rFonts w:hint="eastAsia" w:asciiTheme="minorEastAsia" w:hAnsiTheme="minorEastAsia" w:eastAsiaTheme="minorEastAsia" w:cstheme="minorEastAsia"/>
          <w:color w:val="auto"/>
          <w:sz w:val="24"/>
        </w:rPr>
        <w:t>政府采购法及实施条例、政府采购质疑和投诉办法的有关规定进行答复。</w:t>
      </w:r>
    </w:p>
    <w:p w14:paraId="09A2319E">
      <w:pPr>
        <w:pStyle w:val="24"/>
        <w:numPr>
          <w:ilvl w:val="1"/>
          <w:numId w:val="37"/>
        </w:numPr>
        <w:tabs>
          <w:tab w:val="left" w:pos="1185"/>
        </w:tabs>
        <w:spacing w:before="0" w:after="0" w:line="305" w:lineRule="exact"/>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招标文件的质疑：详见招标文件第二章。</w:t>
      </w:r>
    </w:p>
    <w:p w14:paraId="2D3AB668">
      <w:pPr>
        <w:pStyle w:val="6"/>
        <w:spacing w:before="11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16、投诉</w:t>
      </w:r>
    </w:p>
    <w:p w14:paraId="60BB42F7">
      <w:pPr>
        <w:pStyle w:val="24"/>
        <w:numPr>
          <w:ilvl w:val="1"/>
          <w:numId w:val="41"/>
        </w:numPr>
        <w:tabs>
          <w:tab w:val="left" w:pos="1185"/>
        </w:tabs>
        <w:spacing w:before="113"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rPr>
        <w:t>若对质疑答复不满意或质疑答复未在答复期限内作出，质疑人可在答复期限届</w:t>
      </w:r>
      <w:r>
        <w:rPr>
          <w:rFonts w:hint="eastAsia" w:asciiTheme="minorEastAsia" w:hAnsiTheme="minorEastAsia" w:eastAsiaTheme="minorEastAsia" w:cstheme="minorEastAsia"/>
          <w:color w:val="auto"/>
          <w:spacing w:val="-11"/>
          <w:sz w:val="24"/>
        </w:rPr>
        <w:t xml:space="preserve">满之日起 </w:t>
      </w:r>
      <w:r>
        <w:rPr>
          <w:rFonts w:hint="eastAsia" w:asciiTheme="minorEastAsia" w:hAnsiTheme="minorEastAsia" w:eastAsiaTheme="minorEastAsia" w:cstheme="minorEastAsia"/>
          <w:color w:val="auto"/>
          <w:sz w:val="24"/>
        </w:rPr>
        <w:t>15</w:t>
      </w:r>
      <w:r>
        <w:rPr>
          <w:rFonts w:hint="eastAsia" w:asciiTheme="minorEastAsia" w:hAnsiTheme="minorEastAsia" w:eastAsiaTheme="minorEastAsia" w:cstheme="minorEastAsia"/>
          <w:color w:val="auto"/>
          <w:spacing w:val="12"/>
          <w:sz w:val="24"/>
        </w:rPr>
        <w:t xml:space="preserve"> </w:t>
      </w:r>
      <w:r>
        <w:rPr>
          <w:rFonts w:hint="eastAsia" w:asciiTheme="minorEastAsia" w:hAnsiTheme="minorEastAsia" w:eastAsiaTheme="minorEastAsia" w:cstheme="minorEastAsia"/>
          <w:color w:val="auto"/>
          <w:spacing w:val="-1"/>
          <w:sz w:val="24"/>
        </w:rPr>
        <w:t>个工作日内</w:t>
      </w:r>
      <w:r>
        <w:rPr>
          <w:rFonts w:hint="eastAsia" w:asciiTheme="minorEastAsia" w:hAnsiTheme="minorEastAsia" w:eastAsiaTheme="minorEastAsia" w:cstheme="minorEastAsia"/>
          <w:color w:val="auto"/>
          <w:sz w:val="24"/>
          <w:lang w:eastAsia="zh-CN"/>
        </w:rPr>
        <w:t>参照</w:t>
      </w:r>
      <w:r>
        <w:rPr>
          <w:rFonts w:hint="eastAsia" w:asciiTheme="minorEastAsia" w:hAnsiTheme="minorEastAsia" w:eastAsiaTheme="minorEastAsia" w:cstheme="minorEastAsia"/>
          <w:color w:val="auto"/>
          <w:spacing w:val="-1"/>
          <w:sz w:val="24"/>
        </w:rPr>
        <w:t>政府采购质疑和投诉办法的有关规定向招标文件第二章载</w:t>
      </w:r>
      <w:r>
        <w:rPr>
          <w:rFonts w:hint="eastAsia" w:asciiTheme="minorEastAsia" w:hAnsiTheme="minorEastAsia" w:eastAsiaTheme="minorEastAsia" w:cstheme="minorEastAsia"/>
          <w:color w:val="auto"/>
          <w:sz w:val="24"/>
        </w:rPr>
        <w:t>明的本项目监督管理部门提起投诉。</w:t>
      </w:r>
    </w:p>
    <w:p w14:paraId="44E9E2A6">
      <w:pPr>
        <w:pStyle w:val="24"/>
        <w:numPr>
          <w:ilvl w:val="1"/>
          <w:numId w:val="41"/>
        </w:numPr>
        <w:tabs>
          <w:tab w:val="left" w:pos="1185"/>
        </w:tabs>
        <w:spacing w:before="0" w:after="0" w:line="328"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7"/>
          <w:sz w:val="24"/>
        </w:rPr>
        <w:t>投诉应有明确的请求和必要的证明材料，投诉的事项不得超出已质疑事项的范</w:t>
      </w:r>
      <w:r>
        <w:rPr>
          <w:rFonts w:hint="eastAsia" w:asciiTheme="minorEastAsia" w:hAnsiTheme="minorEastAsia" w:eastAsiaTheme="minorEastAsia" w:cstheme="minorEastAsia"/>
          <w:color w:val="auto"/>
          <w:sz w:val="24"/>
        </w:rPr>
        <w:t>围。</w:t>
      </w:r>
    </w:p>
    <w:p w14:paraId="3D18C91D">
      <w:pPr>
        <w:pStyle w:val="4"/>
        <w:spacing w:line="305" w:lineRule="exact"/>
        <w:rPr>
          <w:rFonts w:hint="eastAsia" w:asciiTheme="minorEastAsia" w:hAnsiTheme="minorEastAsia" w:eastAsiaTheme="minorEastAsia" w:cstheme="minorEastAsia"/>
          <w:color w:val="auto"/>
        </w:rPr>
      </w:pPr>
      <w:bookmarkStart w:id="29" w:name="八、政府采购政策"/>
      <w:bookmarkEnd w:id="29"/>
      <w:r>
        <w:rPr>
          <w:rFonts w:hint="eastAsia" w:asciiTheme="minorEastAsia" w:hAnsiTheme="minorEastAsia" w:eastAsiaTheme="minorEastAsia" w:cstheme="minorEastAsia"/>
          <w:color w:val="auto"/>
        </w:rPr>
        <w:t>八、</w:t>
      </w:r>
      <w:r>
        <w:rPr>
          <w:rFonts w:hint="eastAsia" w:asciiTheme="minorEastAsia" w:hAnsiTheme="minorEastAsia" w:eastAsiaTheme="minorEastAsia" w:cstheme="minorEastAsia"/>
          <w:color w:val="auto"/>
          <w:lang w:eastAsia="zh-CN"/>
        </w:rPr>
        <w:t>企业采购</w:t>
      </w:r>
      <w:r>
        <w:rPr>
          <w:rFonts w:hint="eastAsia" w:asciiTheme="minorEastAsia" w:hAnsiTheme="minorEastAsia" w:eastAsiaTheme="minorEastAsia" w:cstheme="minorEastAsia"/>
          <w:color w:val="auto"/>
        </w:rPr>
        <w:t>政策</w:t>
      </w:r>
    </w:p>
    <w:p w14:paraId="54A4419C">
      <w:pPr>
        <w:pStyle w:val="6"/>
        <w:spacing w:before="108"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17</w:t>
      </w:r>
      <w:r>
        <w:rPr>
          <w:rFonts w:hint="eastAsia" w:asciiTheme="minorEastAsia" w:hAnsiTheme="minorEastAsia" w:eastAsiaTheme="minorEastAsia" w:cstheme="minorEastAsia"/>
          <w:color w:val="auto"/>
          <w:spacing w:val="-12"/>
        </w:rPr>
        <w:t>、政府采购政策由财政部根据国家的经济和社会发展政策并会同国家有关部委制</w:t>
      </w:r>
      <w:r>
        <w:rPr>
          <w:rFonts w:hint="eastAsia" w:asciiTheme="minorEastAsia" w:hAnsiTheme="minorEastAsia" w:eastAsiaTheme="minorEastAsia" w:cstheme="minorEastAsia"/>
          <w:color w:val="auto"/>
        </w:rPr>
        <w:t>定，包括但不限于下列具体政策要求：</w:t>
      </w:r>
    </w:p>
    <w:p w14:paraId="39340D71">
      <w:pPr>
        <w:pStyle w:val="24"/>
        <w:numPr>
          <w:ilvl w:val="1"/>
          <w:numId w:val="42"/>
        </w:numPr>
        <w:tabs>
          <w:tab w:val="left" w:pos="1185"/>
        </w:tabs>
        <w:spacing w:before="0" w:after="0" w:line="305" w:lineRule="exact"/>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进口产品指通过中国海关报关验放进入中国境内且产自关境外的产品，其中：</w:t>
      </w:r>
    </w:p>
    <w:p w14:paraId="0B56D0D9">
      <w:pPr>
        <w:pStyle w:val="24"/>
        <w:numPr>
          <w:ilvl w:val="0"/>
          <w:numId w:val="43"/>
        </w:numPr>
        <w:tabs>
          <w:tab w:val="left" w:pos="1304"/>
        </w:tabs>
        <w:spacing w:before="39"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我国现行关境指适用海关法的中华人民共和国行政管辖区域，不包括香港、</w:t>
      </w:r>
      <w:r>
        <w:rPr>
          <w:rFonts w:hint="eastAsia" w:asciiTheme="minorEastAsia" w:hAnsiTheme="minorEastAsia" w:eastAsiaTheme="minorEastAsia" w:cstheme="minorEastAsia"/>
          <w:color w:val="auto"/>
          <w:spacing w:val="-7"/>
          <w:sz w:val="24"/>
        </w:rPr>
        <w:t>澳门和台湾金马等单独关境地区；保税区、出口加工区、保税港区、珠澳跨境工业区珠</w:t>
      </w:r>
      <w:r>
        <w:rPr>
          <w:rFonts w:hint="eastAsia" w:asciiTheme="minorEastAsia" w:hAnsiTheme="minorEastAsia" w:eastAsiaTheme="minorEastAsia" w:cstheme="minorEastAsia"/>
          <w:color w:val="auto"/>
          <w:spacing w:val="-10"/>
          <w:sz w:val="24"/>
        </w:rPr>
        <w:t>海园区、中哈霍尔果斯国际边境合作中心中方配套区、综合保税区等区域，为海关特殊</w:t>
      </w:r>
      <w:r>
        <w:rPr>
          <w:rFonts w:hint="eastAsia" w:asciiTheme="minorEastAsia" w:hAnsiTheme="minorEastAsia" w:eastAsiaTheme="minorEastAsia" w:cstheme="minorEastAsia"/>
          <w:color w:val="auto"/>
          <w:sz w:val="24"/>
        </w:rPr>
        <w:t>监管区域，仍属于中华人民共和国关境内区域，由海关按照海关法实施监管。</w:t>
      </w:r>
    </w:p>
    <w:p w14:paraId="7916E858">
      <w:pPr>
        <w:pStyle w:val="24"/>
        <w:numPr>
          <w:ilvl w:val="0"/>
          <w:numId w:val="43"/>
        </w:numPr>
        <w:tabs>
          <w:tab w:val="left" w:pos="1304"/>
        </w:tabs>
        <w:spacing w:before="0" w:after="0" w:line="328" w:lineRule="auto"/>
        <w:ind w:left="220" w:right="580"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凡在海关特殊监管区域内企业生产或加工（包括从境外进口料件）</w:t>
      </w:r>
      <w:r>
        <w:rPr>
          <w:rFonts w:hint="eastAsia" w:asciiTheme="minorEastAsia" w:hAnsiTheme="minorEastAsia" w:eastAsiaTheme="minorEastAsia" w:cstheme="minorEastAsia"/>
          <w:color w:val="auto"/>
          <w:spacing w:val="-4"/>
          <w:sz w:val="24"/>
        </w:rPr>
        <w:t>销往境内</w:t>
      </w:r>
      <w:r>
        <w:rPr>
          <w:rFonts w:hint="eastAsia" w:asciiTheme="minorEastAsia" w:hAnsiTheme="minorEastAsia" w:eastAsiaTheme="minorEastAsia" w:cstheme="minorEastAsia"/>
          <w:color w:val="auto"/>
          <w:sz w:val="24"/>
        </w:rPr>
        <w:t>其他地区的产品，不作为政府采购项下进口产品。</w:t>
      </w:r>
    </w:p>
    <w:p w14:paraId="0AE5C6CF">
      <w:pPr>
        <w:pStyle w:val="24"/>
        <w:numPr>
          <w:ilvl w:val="0"/>
          <w:numId w:val="43"/>
        </w:numPr>
        <w:tabs>
          <w:tab w:val="left" w:pos="1304"/>
        </w:tabs>
        <w:spacing w:before="0" w:after="0" w:line="328" w:lineRule="auto"/>
        <w:ind w:left="220" w:right="580"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对从境外进入海关特殊监管区域，再经办理报关手续后从海关特殊监管区进</w:t>
      </w:r>
      <w:r>
        <w:rPr>
          <w:rFonts w:hint="eastAsia" w:asciiTheme="minorEastAsia" w:hAnsiTheme="minorEastAsia" w:eastAsiaTheme="minorEastAsia" w:cstheme="minorEastAsia"/>
          <w:color w:val="auto"/>
          <w:sz w:val="24"/>
        </w:rPr>
        <w:t>入境内其他地区的产品，认定为进口产品。</w:t>
      </w:r>
    </w:p>
    <w:p w14:paraId="32F8F860">
      <w:pPr>
        <w:pStyle w:val="24"/>
        <w:numPr>
          <w:ilvl w:val="0"/>
          <w:numId w:val="43"/>
        </w:numPr>
        <w:tabs>
          <w:tab w:val="left" w:pos="1304"/>
        </w:tabs>
        <w:spacing w:before="0" w:after="0" w:line="328" w:lineRule="auto"/>
        <w:ind w:left="220" w:right="580"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招标文件列明不允许或未列明允许进口产品参加投标的，均视为拒绝进口产</w:t>
      </w:r>
      <w:r>
        <w:rPr>
          <w:rFonts w:hint="eastAsia" w:asciiTheme="minorEastAsia" w:hAnsiTheme="minorEastAsia" w:eastAsiaTheme="minorEastAsia" w:cstheme="minorEastAsia"/>
          <w:color w:val="auto"/>
          <w:sz w:val="24"/>
        </w:rPr>
        <w:t>品参加投标。</w:t>
      </w:r>
    </w:p>
    <w:p w14:paraId="179596B6">
      <w:pPr>
        <w:pStyle w:val="24"/>
        <w:numPr>
          <w:ilvl w:val="1"/>
          <w:numId w:val="42"/>
        </w:numPr>
        <w:tabs>
          <w:tab w:val="left" w:pos="1185"/>
        </w:tabs>
        <w:spacing w:before="0" w:after="0" w:line="328" w:lineRule="auto"/>
        <w:ind w:left="220" w:right="479"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政府采购节能产品、环境标志产品实施品目清单管理。财政部、发展改革委、</w:t>
      </w:r>
      <w:r>
        <w:rPr>
          <w:rFonts w:hint="eastAsia" w:asciiTheme="minorEastAsia" w:hAnsiTheme="minorEastAsia" w:eastAsiaTheme="minorEastAsia" w:cstheme="minorEastAsia"/>
          <w:color w:val="auto"/>
          <w:spacing w:val="-5"/>
          <w:sz w:val="24"/>
        </w:rPr>
        <w:t>生态环境部等部门根据产品节能环保性能、技术水平和市场成熟程度等因素，确定实施</w:t>
      </w:r>
      <w:r>
        <w:rPr>
          <w:rFonts w:hint="eastAsia" w:asciiTheme="minorEastAsia" w:hAnsiTheme="minorEastAsia" w:eastAsiaTheme="minorEastAsia" w:cstheme="minorEastAsia"/>
          <w:color w:val="auto"/>
          <w:spacing w:val="-9"/>
          <w:sz w:val="24"/>
        </w:rPr>
        <w:t>政府优先采购和强制采购的产品类别及所依据的相关标准规范，以品目清单的形式发布</w:t>
      </w:r>
      <w:r>
        <w:rPr>
          <w:rFonts w:hint="eastAsia" w:asciiTheme="minorEastAsia" w:hAnsiTheme="minorEastAsia" w:eastAsiaTheme="minorEastAsia" w:cstheme="minorEastAsia"/>
          <w:color w:val="auto"/>
          <w:spacing w:val="-12"/>
          <w:sz w:val="24"/>
        </w:rPr>
        <w:t>并适时调整。依据品目清单和认证证书实施政府优先采购和强制采购。采购人拟采购的</w:t>
      </w:r>
      <w:r>
        <w:rPr>
          <w:rFonts w:hint="eastAsia" w:asciiTheme="minorEastAsia" w:hAnsiTheme="minorEastAsia" w:eastAsiaTheme="minorEastAsia" w:cstheme="minorEastAsia"/>
          <w:color w:val="auto"/>
          <w:spacing w:val="-15"/>
          <w:sz w:val="24"/>
        </w:rPr>
        <w:t>产品属于品目清单范围的，采购人及其委托的采购代理机构应当依据国家确定的认证机</w:t>
      </w:r>
      <w:r>
        <w:rPr>
          <w:rFonts w:hint="eastAsia" w:asciiTheme="minorEastAsia" w:hAnsiTheme="minorEastAsia" w:eastAsiaTheme="minorEastAsia" w:cstheme="minorEastAsia"/>
          <w:color w:val="auto"/>
          <w:spacing w:val="-13"/>
          <w:sz w:val="24"/>
        </w:rPr>
        <w:t>构出具的、处于有效期之内的节能产品、环境标志产品认证证书，对获得证书的产品实施政府优先采购或强制采购。</w:t>
      </w:r>
    </w:p>
    <w:p w14:paraId="708CBB86">
      <w:pPr>
        <w:pStyle w:val="24"/>
        <w:numPr>
          <w:ilvl w:val="1"/>
          <w:numId w:val="42"/>
        </w:numPr>
        <w:tabs>
          <w:tab w:val="left" w:pos="1185"/>
        </w:tabs>
        <w:spacing w:before="0" w:after="0" w:line="328" w:lineRule="auto"/>
        <w:ind w:left="220" w:right="485"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7"/>
          <w:sz w:val="24"/>
        </w:rPr>
        <w:t>列入国家质检总局、国家认监委《第一批信息安全产品强制性认证目录》</w:t>
      </w:r>
      <w:r>
        <w:rPr>
          <w:rFonts w:hint="eastAsia" w:asciiTheme="minorEastAsia" w:hAnsiTheme="minorEastAsia" w:eastAsiaTheme="minorEastAsia" w:cstheme="minorEastAsia"/>
          <w:color w:val="auto"/>
          <w:sz w:val="24"/>
        </w:rPr>
        <w:t>（以</w:t>
      </w:r>
      <w:r>
        <w:rPr>
          <w:rFonts w:hint="eastAsia" w:asciiTheme="minorEastAsia" w:hAnsiTheme="minorEastAsia" w:eastAsiaTheme="minorEastAsia" w:cstheme="minorEastAsia"/>
          <w:color w:val="auto"/>
          <w:spacing w:val="-7"/>
          <w:sz w:val="24"/>
        </w:rPr>
        <w:t>下简称“信息安全产品目录”</w:t>
      </w:r>
      <w:r>
        <w:rPr>
          <w:rFonts w:hint="eastAsia" w:asciiTheme="minorEastAsia" w:hAnsiTheme="minorEastAsia" w:eastAsiaTheme="minorEastAsia" w:cstheme="minorEastAsia"/>
          <w:color w:val="auto"/>
          <w:spacing w:val="-20"/>
          <w:sz w:val="24"/>
        </w:rPr>
        <w:t>）</w:t>
      </w:r>
      <w:r>
        <w:rPr>
          <w:rFonts w:hint="eastAsia" w:asciiTheme="minorEastAsia" w:hAnsiTheme="minorEastAsia" w:eastAsiaTheme="minorEastAsia" w:cstheme="minorEastAsia"/>
          <w:color w:val="auto"/>
          <w:spacing w:val="-4"/>
          <w:sz w:val="24"/>
        </w:rPr>
        <w:t>内的信息安全产品，应获得强制性产品认证证书</w:t>
      </w:r>
      <w:r>
        <w:rPr>
          <w:rFonts w:hint="eastAsia" w:asciiTheme="minorEastAsia" w:hAnsiTheme="minorEastAsia" w:eastAsiaTheme="minorEastAsia" w:cstheme="minorEastAsia"/>
          <w:color w:val="auto"/>
          <w:sz w:val="24"/>
        </w:rPr>
        <w:t>（即中</w:t>
      </w:r>
      <w:r>
        <w:rPr>
          <w:rFonts w:hint="eastAsia" w:asciiTheme="minorEastAsia" w:hAnsiTheme="minorEastAsia" w:eastAsiaTheme="minorEastAsia" w:cstheme="minorEastAsia"/>
          <w:color w:val="auto"/>
          <w:spacing w:val="-5"/>
          <w:sz w:val="24"/>
        </w:rPr>
        <w:t>国信息安全认证中心颁发的《中国国家信息安全产品认证证书》</w:t>
      </w:r>
      <w:r>
        <w:rPr>
          <w:rFonts w:hint="eastAsia" w:asciiTheme="minorEastAsia" w:hAnsiTheme="minorEastAsia" w:eastAsiaTheme="minorEastAsia" w:cstheme="minorEastAsia"/>
          <w:color w:val="auto"/>
          <w:spacing w:val="-32"/>
          <w:sz w:val="24"/>
        </w:rPr>
        <w:t>）</w:t>
      </w:r>
      <w:r>
        <w:rPr>
          <w:rFonts w:hint="eastAsia" w:asciiTheme="minorEastAsia" w:hAnsiTheme="minorEastAsia" w:eastAsiaTheme="minorEastAsia" w:cstheme="minorEastAsia"/>
          <w:color w:val="auto"/>
          <w:sz w:val="24"/>
        </w:rPr>
        <w:t>和加施中国强制性认</w:t>
      </w:r>
      <w:r>
        <w:rPr>
          <w:rFonts w:hint="eastAsia" w:asciiTheme="minorEastAsia" w:hAnsiTheme="minorEastAsia" w:eastAsiaTheme="minorEastAsia" w:cstheme="minorEastAsia"/>
          <w:color w:val="auto"/>
          <w:spacing w:val="-1"/>
          <w:sz w:val="24"/>
        </w:rPr>
        <w:t>证标志。未列入信息安全产品目录的产品，不属于政府强制采购的信息安全产品范围。</w:t>
      </w:r>
    </w:p>
    <w:p w14:paraId="2E47056B">
      <w:pPr>
        <w:pStyle w:val="24"/>
        <w:numPr>
          <w:ilvl w:val="1"/>
          <w:numId w:val="42"/>
        </w:numPr>
        <w:tabs>
          <w:tab w:val="left" w:pos="1188"/>
        </w:tabs>
        <w:spacing w:before="0"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符合财政部、工信部文件（财库〔2020</w:t>
      </w:r>
      <w:r>
        <w:rPr>
          <w:rFonts w:hint="eastAsia" w:asciiTheme="minorEastAsia" w:hAnsiTheme="minorEastAsia" w:eastAsiaTheme="minorEastAsia" w:cstheme="minorEastAsia"/>
          <w:color w:val="auto"/>
          <w:spacing w:val="4"/>
          <w:sz w:val="24"/>
        </w:rPr>
        <w:t>〕</w:t>
      </w:r>
      <w:r>
        <w:rPr>
          <w:rFonts w:hint="eastAsia" w:asciiTheme="minorEastAsia" w:hAnsiTheme="minorEastAsia" w:eastAsiaTheme="minorEastAsia" w:cstheme="minorEastAsia"/>
          <w:color w:val="auto"/>
          <w:sz w:val="24"/>
        </w:rPr>
        <w:t>46</w:t>
      </w:r>
      <w:r>
        <w:rPr>
          <w:rFonts w:hint="eastAsia" w:asciiTheme="minorEastAsia" w:hAnsiTheme="minorEastAsia" w:eastAsiaTheme="minorEastAsia" w:cstheme="minorEastAsia"/>
          <w:color w:val="auto"/>
          <w:spacing w:val="42"/>
          <w:sz w:val="24"/>
        </w:rPr>
        <w:t xml:space="preserve"> </w:t>
      </w:r>
      <w:r>
        <w:rPr>
          <w:rFonts w:hint="eastAsia" w:asciiTheme="minorEastAsia" w:hAnsiTheme="minorEastAsia" w:eastAsiaTheme="minorEastAsia" w:cstheme="minorEastAsia"/>
          <w:color w:val="auto"/>
          <w:sz w:val="24"/>
        </w:rPr>
        <w:t>号）规定的小型、微型企业可享</w:t>
      </w:r>
      <w:r>
        <w:rPr>
          <w:rFonts w:hint="eastAsia" w:asciiTheme="minorEastAsia" w:hAnsiTheme="minorEastAsia" w:eastAsiaTheme="minorEastAsia" w:cstheme="minorEastAsia"/>
          <w:color w:val="auto"/>
          <w:spacing w:val="-3"/>
          <w:sz w:val="24"/>
        </w:rPr>
        <w:t>受扶持政策（</w:t>
      </w:r>
      <w:r>
        <w:rPr>
          <w:rFonts w:hint="eastAsia" w:asciiTheme="minorEastAsia" w:hAnsiTheme="minorEastAsia" w:eastAsiaTheme="minorEastAsia" w:cstheme="minorEastAsia"/>
          <w:color w:val="auto"/>
          <w:spacing w:val="-6"/>
          <w:sz w:val="24"/>
        </w:rPr>
        <w:t>如：预留采购份额、价格评审优惠、优先采购</w:t>
      </w:r>
      <w:r>
        <w:rPr>
          <w:rFonts w:hint="eastAsia" w:asciiTheme="minorEastAsia" w:hAnsiTheme="minorEastAsia" w:eastAsiaTheme="minorEastAsia" w:cstheme="minorEastAsia"/>
          <w:color w:val="auto"/>
          <w:spacing w:val="-12"/>
          <w:sz w:val="24"/>
        </w:rPr>
        <w:t>）</w:t>
      </w:r>
      <w:r>
        <w:rPr>
          <w:rFonts w:hint="eastAsia" w:asciiTheme="minorEastAsia" w:hAnsiTheme="minorEastAsia" w:eastAsiaTheme="minorEastAsia" w:cstheme="minorEastAsia"/>
          <w:color w:val="auto"/>
          <w:spacing w:val="-7"/>
          <w:sz w:val="24"/>
        </w:rPr>
        <w:t>。符合财政部、司法部文</w:t>
      </w:r>
      <w:r>
        <w:rPr>
          <w:rFonts w:hint="eastAsia" w:asciiTheme="minorEastAsia" w:hAnsiTheme="minorEastAsia" w:eastAsiaTheme="minorEastAsia" w:cstheme="minorEastAsia"/>
          <w:color w:val="auto"/>
          <w:spacing w:val="-10"/>
          <w:sz w:val="24"/>
        </w:rPr>
        <w:t>件</w:t>
      </w:r>
      <w:r>
        <w:rPr>
          <w:rFonts w:hint="eastAsia" w:asciiTheme="minorEastAsia" w:hAnsiTheme="minorEastAsia" w:eastAsiaTheme="minorEastAsia" w:cstheme="minorEastAsia"/>
          <w:color w:val="auto"/>
          <w:spacing w:val="-3"/>
          <w:sz w:val="24"/>
        </w:rPr>
        <w:t>（</w:t>
      </w:r>
      <w:r>
        <w:rPr>
          <w:rFonts w:hint="eastAsia" w:asciiTheme="minorEastAsia" w:hAnsiTheme="minorEastAsia" w:eastAsiaTheme="minorEastAsia" w:cstheme="minorEastAsia"/>
          <w:color w:val="auto"/>
          <w:sz w:val="24"/>
        </w:rPr>
        <w:t>财库[2014]68</w:t>
      </w:r>
      <w:r>
        <w:rPr>
          <w:rFonts w:hint="eastAsia" w:asciiTheme="minorEastAsia" w:hAnsiTheme="minorEastAsia" w:eastAsiaTheme="minorEastAsia" w:cstheme="minorEastAsia"/>
          <w:color w:val="auto"/>
          <w:spacing w:val="2"/>
          <w:sz w:val="24"/>
        </w:rPr>
        <w:t xml:space="preserve"> </w:t>
      </w:r>
      <w:r>
        <w:rPr>
          <w:rFonts w:hint="eastAsia" w:asciiTheme="minorEastAsia" w:hAnsiTheme="minorEastAsia" w:eastAsiaTheme="minorEastAsia" w:cstheme="minorEastAsia"/>
          <w:color w:val="auto"/>
          <w:sz w:val="24"/>
        </w:rPr>
        <w:t>号</w:t>
      </w:r>
      <w:r>
        <w:rPr>
          <w:rFonts w:hint="eastAsia" w:asciiTheme="minorEastAsia" w:hAnsiTheme="minorEastAsia" w:eastAsiaTheme="minorEastAsia" w:cstheme="minorEastAsia"/>
          <w:color w:val="auto"/>
          <w:spacing w:val="-10"/>
          <w:sz w:val="24"/>
        </w:rPr>
        <w:t>）</w:t>
      </w:r>
      <w:r>
        <w:rPr>
          <w:rFonts w:hint="eastAsia" w:asciiTheme="minorEastAsia" w:hAnsiTheme="minorEastAsia" w:eastAsiaTheme="minorEastAsia" w:cstheme="minorEastAsia"/>
          <w:color w:val="auto"/>
          <w:spacing w:val="-2"/>
          <w:sz w:val="24"/>
        </w:rPr>
        <w:t>规定的监狱企业</w:t>
      </w:r>
      <w:r>
        <w:rPr>
          <w:rFonts w:hint="eastAsia" w:asciiTheme="minorEastAsia" w:hAnsiTheme="minorEastAsia" w:eastAsiaTheme="minorEastAsia" w:cstheme="minorEastAsia"/>
          <w:color w:val="auto"/>
          <w:sz w:val="24"/>
        </w:rPr>
        <w:t>（</w:t>
      </w:r>
      <w:r>
        <w:rPr>
          <w:rFonts w:hint="eastAsia" w:asciiTheme="minorEastAsia" w:hAnsiTheme="minorEastAsia" w:eastAsiaTheme="minorEastAsia" w:cstheme="minorEastAsia"/>
          <w:color w:val="auto"/>
          <w:spacing w:val="-5"/>
          <w:sz w:val="24"/>
        </w:rPr>
        <w:t>以下简称：“监狱企业”</w:t>
      </w:r>
      <w:r>
        <w:rPr>
          <w:rFonts w:hint="eastAsia" w:asciiTheme="minorEastAsia" w:hAnsiTheme="minorEastAsia" w:eastAsiaTheme="minorEastAsia" w:cstheme="minorEastAsia"/>
          <w:color w:val="auto"/>
          <w:spacing w:val="-11"/>
          <w:sz w:val="24"/>
        </w:rPr>
        <w:t>）</w:t>
      </w:r>
      <w:r>
        <w:rPr>
          <w:rFonts w:hint="eastAsia" w:asciiTheme="minorEastAsia" w:hAnsiTheme="minorEastAsia" w:eastAsiaTheme="minorEastAsia" w:cstheme="minorEastAsia"/>
          <w:color w:val="auto"/>
          <w:sz w:val="24"/>
        </w:rPr>
        <w:t>亦可享受前述扶持政策。符合财政部、民政部、中国残联文件（财库[2017]141</w:t>
      </w:r>
      <w:r>
        <w:rPr>
          <w:rFonts w:hint="eastAsia" w:asciiTheme="minorEastAsia" w:hAnsiTheme="minorEastAsia" w:eastAsiaTheme="minorEastAsia" w:cstheme="minorEastAsia"/>
          <w:color w:val="auto"/>
          <w:spacing w:val="31"/>
          <w:sz w:val="24"/>
        </w:rPr>
        <w:t xml:space="preserve"> </w:t>
      </w:r>
      <w:r>
        <w:rPr>
          <w:rFonts w:hint="eastAsia" w:asciiTheme="minorEastAsia" w:hAnsiTheme="minorEastAsia" w:eastAsiaTheme="minorEastAsia" w:cstheme="minorEastAsia"/>
          <w:color w:val="auto"/>
          <w:sz w:val="24"/>
        </w:rPr>
        <w:t>号）规定的残疾人福利性单位（以下简称：“残疾人福利性单位”）亦可享受前述扶持政策。其中：</w:t>
      </w:r>
    </w:p>
    <w:p w14:paraId="7320A87D">
      <w:pPr>
        <w:pStyle w:val="24"/>
        <w:numPr>
          <w:ilvl w:val="0"/>
          <w:numId w:val="44"/>
        </w:numPr>
        <w:tabs>
          <w:tab w:val="left" w:pos="1301"/>
        </w:tabs>
        <w:spacing w:before="0" w:after="0" w:line="301" w:lineRule="exact"/>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中小企业指符合下列条件的中型、小型、微型企业：</w:t>
      </w:r>
    </w:p>
    <w:p w14:paraId="4609E254">
      <w:pPr>
        <w:pStyle w:val="6"/>
        <w:spacing w:before="85"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0"/>
        </w:rPr>
        <w:t>①符合《工业和信息化部、国家统计局、国家发展和改革委员会、财政部关于印发</w:t>
      </w:r>
      <w:r>
        <w:rPr>
          <w:rFonts w:hint="eastAsia" w:asciiTheme="minorEastAsia" w:hAnsiTheme="minorEastAsia" w:eastAsiaTheme="minorEastAsia" w:cstheme="minorEastAsia"/>
          <w:color w:val="auto"/>
        </w:rPr>
        <w:t>中小企业划型标准规定的通知》（工信部联企业[2011]300</w:t>
      </w:r>
      <w:r>
        <w:rPr>
          <w:rFonts w:hint="eastAsia" w:asciiTheme="minorEastAsia" w:hAnsiTheme="minorEastAsia" w:eastAsiaTheme="minorEastAsia" w:cstheme="minorEastAsia"/>
          <w:color w:val="auto"/>
          <w:spacing w:val="31"/>
        </w:rPr>
        <w:t xml:space="preserve"> </w:t>
      </w:r>
      <w:r>
        <w:rPr>
          <w:rFonts w:hint="eastAsia" w:asciiTheme="minorEastAsia" w:hAnsiTheme="minorEastAsia" w:eastAsiaTheme="minorEastAsia" w:cstheme="minorEastAsia"/>
          <w:color w:val="auto"/>
        </w:rPr>
        <w:t>号）规定的划分标准，但与大企业的负责人为同一人，或者与大企业存在直接控股、管理关系的除外；</w:t>
      </w:r>
    </w:p>
    <w:p w14:paraId="7BAFA3AF">
      <w:pPr>
        <w:pStyle w:val="6"/>
        <w:spacing w:line="304"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②符合中小企业划分标准的个体工商户，在政府采购活动中视同中小企业。</w:t>
      </w:r>
    </w:p>
    <w:p w14:paraId="79C73C38">
      <w:pPr>
        <w:pStyle w:val="24"/>
        <w:numPr>
          <w:ilvl w:val="0"/>
          <w:numId w:val="44"/>
        </w:numPr>
        <w:tabs>
          <w:tab w:val="left" w:pos="1304"/>
        </w:tabs>
        <w:spacing w:before="113" w:after="0" w:line="328" w:lineRule="auto"/>
        <w:ind w:left="220" w:right="580"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在</w:t>
      </w:r>
      <w:r>
        <w:rPr>
          <w:rFonts w:hint="eastAsia" w:asciiTheme="minorEastAsia" w:hAnsiTheme="minorEastAsia" w:eastAsiaTheme="minorEastAsia" w:cstheme="minorEastAsia"/>
          <w:color w:val="auto"/>
          <w:spacing w:val="-1"/>
          <w:sz w:val="24"/>
          <w:lang w:eastAsia="zh-CN"/>
        </w:rPr>
        <w:t>企业采购</w:t>
      </w:r>
      <w:r>
        <w:rPr>
          <w:rFonts w:hint="eastAsia" w:asciiTheme="minorEastAsia" w:hAnsiTheme="minorEastAsia" w:eastAsiaTheme="minorEastAsia" w:cstheme="minorEastAsia"/>
          <w:color w:val="auto"/>
          <w:spacing w:val="-1"/>
          <w:sz w:val="24"/>
        </w:rPr>
        <w:t>活动中，供应商提供的货物、工程或者服务符合下列情形的，享</w:t>
      </w:r>
      <w:r>
        <w:rPr>
          <w:rFonts w:hint="eastAsia" w:asciiTheme="minorEastAsia" w:hAnsiTheme="minorEastAsia" w:eastAsiaTheme="minorEastAsia" w:cstheme="minorEastAsia"/>
          <w:color w:val="auto"/>
          <w:sz w:val="24"/>
        </w:rPr>
        <w:t>受本办法规定的中小企业扶持政策：</w:t>
      </w:r>
    </w:p>
    <w:p w14:paraId="566F789C">
      <w:pPr>
        <w:pStyle w:val="6"/>
        <w:spacing w:before="39"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9"/>
        </w:rPr>
        <w:t>①在货物采购项目中，货物由中小企业制造，即货物由中小企业生产且使用该中小</w:t>
      </w:r>
      <w:r>
        <w:rPr>
          <w:rFonts w:hint="eastAsia" w:asciiTheme="minorEastAsia" w:hAnsiTheme="minorEastAsia" w:eastAsiaTheme="minorEastAsia" w:cstheme="minorEastAsia"/>
          <w:color w:val="auto"/>
        </w:rPr>
        <w:t>企业商号或者注册商标；</w:t>
      </w:r>
    </w:p>
    <w:p w14:paraId="5A68D27E">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②在工程采购项目中，工程由中小企业承建，即工程施工单位为中小企业；</w:t>
      </w:r>
    </w:p>
    <w:p w14:paraId="34F51482">
      <w:pPr>
        <w:pStyle w:val="6"/>
        <w:spacing w:before="112"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20"/>
        </w:rPr>
        <w:t>③在服务采购项目中，服务由中小企业承接，即提供服务的人员为中小企业依照《中</w:t>
      </w:r>
      <w:r>
        <w:rPr>
          <w:rFonts w:hint="eastAsia" w:asciiTheme="minorEastAsia" w:hAnsiTheme="minorEastAsia" w:eastAsiaTheme="minorEastAsia" w:cstheme="minorEastAsia"/>
          <w:color w:val="auto"/>
        </w:rPr>
        <w:t>华人民共和国劳动合同法》订立劳动合同的从业人员。</w:t>
      </w:r>
    </w:p>
    <w:p w14:paraId="6E8B82AB">
      <w:pPr>
        <w:pStyle w:val="6"/>
        <w:spacing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9"/>
        </w:rPr>
        <w:t>在货物采购项目中，供应商提供的货物既有中小企业制造货物，也有大型企业制造</w:t>
      </w:r>
      <w:r>
        <w:rPr>
          <w:rFonts w:hint="eastAsia" w:asciiTheme="minorEastAsia" w:hAnsiTheme="minorEastAsia" w:eastAsiaTheme="minorEastAsia" w:cstheme="minorEastAsia"/>
          <w:color w:val="auto"/>
        </w:rPr>
        <w:t>货物的，不享受本办法规定的中小企业扶持政策。</w:t>
      </w:r>
    </w:p>
    <w:p w14:paraId="70F05AA9">
      <w:pPr>
        <w:pStyle w:val="6"/>
        <w:spacing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7"/>
        </w:rPr>
        <w:t>以联合体形式参加</w:t>
      </w:r>
      <w:r>
        <w:rPr>
          <w:rFonts w:hint="eastAsia" w:asciiTheme="minorEastAsia" w:hAnsiTheme="minorEastAsia" w:eastAsiaTheme="minorEastAsia" w:cstheme="minorEastAsia"/>
          <w:color w:val="auto"/>
          <w:spacing w:val="-7"/>
          <w:lang w:eastAsia="zh-CN"/>
        </w:rPr>
        <w:t>企业采购</w:t>
      </w:r>
      <w:r>
        <w:rPr>
          <w:rFonts w:hint="eastAsia" w:asciiTheme="minorEastAsia" w:hAnsiTheme="minorEastAsia" w:eastAsiaTheme="minorEastAsia" w:cstheme="minorEastAsia"/>
          <w:color w:val="auto"/>
          <w:spacing w:val="-7"/>
        </w:rPr>
        <w:t>活动，联合体各方均为中小企业的，联合体视同中小企</w:t>
      </w:r>
      <w:r>
        <w:rPr>
          <w:rFonts w:hint="eastAsia" w:asciiTheme="minorEastAsia" w:hAnsiTheme="minorEastAsia" w:eastAsiaTheme="minorEastAsia" w:cstheme="minorEastAsia"/>
          <w:color w:val="auto"/>
        </w:rPr>
        <w:t>业。其中，联合体各方均为小微企业的，联合体视同小微企业。</w:t>
      </w:r>
    </w:p>
    <w:p w14:paraId="4D691CF7">
      <w:pPr>
        <w:pStyle w:val="24"/>
        <w:numPr>
          <w:ilvl w:val="0"/>
          <w:numId w:val="44"/>
        </w:numPr>
        <w:tabs>
          <w:tab w:val="left" w:pos="1304"/>
        </w:tabs>
        <w:spacing w:before="0" w:after="0" w:line="328"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投标人应当按照招标文件明确的采购标的对应行业的划分标准出具中小企业</w:t>
      </w:r>
      <w:r>
        <w:rPr>
          <w:rFonts w:hint="eastAsia" w:asciiTheme="minorEastAsia" w:hAnsiTheme="minorEastAsia" w:eastAsiaTheme="minorEastAsia" w:cstheme="minorEastAsia"/>
          <w:color w:val="auto"/>
          <w:sz w:val="24"/>
        </w:rPr>
        <w:t>声明函。</w:t>
      </w:r>
    </w:p>
    <w:p w14:paraId="5C017E51">
      <w:pPr>
        <w:pStyle w:val="6"/>
        <w:spacing w:line="328" w:lineRule="auto"/>
        <w:ind w:right="485"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在项目属性为货物类采购项目中，货物应当由中小企业制造，不对其中涉及的服务</w:t>
      </w:r>
      <w:r>
        <w:rPr>
          <w:rFonts w:hint="eastAsia" w:asciiTheme="minorEastAsia" w:hAnsiTheme="minorEastAsia" w:eastAsiaTheme="minorEastAsia" w:cstheme="minorEastAsia"/>
          <w:color w:val="auto"/>
          <w:spacing w:val="-7"/>
        </w:rPr>
        <w:t xml:space="preserve">的承接商作出要求；在项目属性为服务类采购项目中，服务的承接商应当为中小企业， </w:t>
      </w:r>
      <w:r>
        <w:rPr>
          <w:rFonts w:hint="eastAsia" w:asciiTheme="minorEastAsia" w:hAnsiTheme="minorEastAsia" w:eastAsiaTheme="minorEastAsia" w:cstheme="minorEastAsia"/>
          <w:color w:val="auto"/>
          <w:spacing w:val="-5"/>
        </w:rPr>
        <w:t>不对其中涉及的货物的制造商作出要求；在项目属性为工程类采购项目中，工程应当由中小企业承建，不对其中涉及的货物的制造商和服务的承接商作出要求。</w:t>
      </w:r>
    </w:p>
    <w:p w14:paraId="47B5EF46">
      <w:pPr>
        <w:pStyle w:val="24"/>
        <w:numPr>
          <w:ilvl w:val="0"/>
          <w:numId w:val="44"/>
        </w:numPr>
        <w:tabs>
          <w:tab w:val="left" w:pos="1304"/>
        </w:tabs>
        <w:spacing w:before="0" w:after="0" w:line="328" w:lineRule="auto"/>
        <w:ind w:left="220" w:right="485"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监狱企业指由司法部认定的为罪犯、戒毒人员提供生产项目和劳动对象，且</w:t>
      </w:r>
      <w:r>
        <w:rPr>
          <w:rFonts w:hint="eastAsia" w:asciiTheme="minorEastAsia" w:hAnsiTheme="minorEastAsia" w:eastAsiaTheme="minorEastAsia" w:cstheme="minorEastAsia"/>
          <w:color w:val="auto"/>
          <w:spacing w:val="-6"/>
          <w:sz w:val="24"/>
        </w:rPr>
        <w:t>全部产权属于司法部监狱管理局、戒毒管理局、直属煤矿管理局，各省、自治区、直辖市监狱管理局、戒毒管理局，各地（设区的市）</w:t>
      </w:r>
      <w:r>
        <w:rPr>
          <w:rFonts w:hint="eastAsia" w:asciiTheme="minorEastAsia" w:hAnsiTheme="minorEastAsia" w:eastAsiaTheme="minorEastAsia" w:cstheme="minorEastAsia"/>
          <w:color w:val="auto"/>
          <w:spacing w:val="-7"/>
          <w:sz w:val="24"/>
        </w:rPr>
        <w:t xml:space="preserve">监狱、强制隔离戒毒所、戒毒康复所， </w:t>
      </w:r>
      <w:r>
        <w:rPr>
          <w:rFonts w:hint="eastAsia" w:asciiTheme="minorEastAsia" w:hAnsiTheme="minorEastAsia" w:eastAsiaTheme="minorEastAsia" w:cstheme="minorEastAsia"/>
          <w:color w:val="auto"/>
          <w:sz w:val="24"/>
        </w:rPr>
        <w:t>以及新疆生产建设兵团监狱管理局、戒毒管理局的企业，其中：</w:t>
      </w:r>
    </w:p>
    <w:p w14:paraId="08563A5D">
      <w:pPr>
        <w:pStyle w:val="6"/>
        <w:spacing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①监狱企业参加采购活动时，应提供由省级以上监狱管理局、戒毒管理局</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5"/>
        </w:rPr>
        <w:t>含新疆</w:t>
      </w:r>
      <w:r>
        <w:rPr>
          <w:rFonts w:hint="eastAsia" w:asciiTheme="minorEastAsia" w:hAnsiTheme="minorEastAsia" w:eastAsiaTheme="minorEastAsia" w:cstheme="minorEastAsia"/>
          <w:color w:val="auto"/>
        </w:rPr>
        <w:t>生产建设兵团）出具的属于监狱企业的证明文件。</w:t>
      </w:r>
    </w:p>
    <w:p w14:paraId="2DC3495B">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②监狱企业视同小型、微型企业。</w:t>
      </w:r>
    </w:p>
    <w:p w14:paraId="6E455DB5">
      <w:pPr>
        <w:pStyle w:val="24"/>
        <w:numPr>
          <w:ilvl w:val="0"/>
          <w:numId w:val="44"/>
        </w:numPr>
        <w:tabs>
          <w:tab w:val="left" w:pos="1301"/>
        </w:tabs>
        <w:spacing w:before="92"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残疾人福利性单位指同时符合下列条件的单位：</w:t>
      </w:r>
    </w:p>
    <w:p w14:paraId="38C75989">
      <w:pPr>
        <w:pStyle w:val="6"/>
        <w:spacing w:before="113"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3"/>
        </w:rPr>
        <w:t xml:space="preserve">①安置的残疾人占本单位在职职工人数的比例不低于 </w:t>
      </w:r>
      <w:r>
        <w:rPr>
          <w:rFonts w:hint="eastAsia" w:asciiTheme="minorEastAsia" w:hAnsiTheme="minorEastAsia" w:eastAsiaTheme="minorEastAsia" w:cstheme="minorEastAsia"/>
          <w:color w:val="auto"/>
          <w:spacing w:val="-8"/>
        </w:rPr>
        <w:t>25%（</w:t>
      </w:r>
      <w:r>
        <w:rPr>
          <w:rFonts w:hint="eastAsia" w:asciiTheme="minorEastAsia" w:hAnsiTheme="minorEastAsia" w:eastAsiaTheme="minorEastAsia" w:cstheme="minorEastAsia"/>
          <w:color w:val="auto"/>
          <w:spacing w:val="-29"/>
        </w:rPr>
        <w:t xml:space="preserve">含 </w:t>
      </w:r>
      <w:r>
        <w:rPr>
          <w:rFonts w:hint="eastAsia" w:asciiTheme="minorEastAsia" w:hAnsiTheme="minorEastAsia" w:eastAsiaTheme="minorEastAsia" w:cstheme="minorEastAsia"/>
          <w:color w:val="auto"/>
          <w:spacing w:val="-12"/>
        </w:rPr>
        <w:t>25%）</w:t>
      </w:r>
      <w:r>
        <w:rPr>
          <w:rFonts w:hint="eastAsia" w:asciiTheme="minorEastAsia" w:hAnsiTheme="minorEastAsia" w:eastAsiaTheme="minorEastAsia" w:cstheme="minorEastAsia"/>
          <w:color w:val="auto"/>
          <w:spacing w:val="-5"/>
        </w:rPr>
        <w:t>，并且安置的</w:t>
      </w:r>
      <w:r>
        <w:rPr>
          <w:rFonts w:hint="eastAsia" w:asciiTheme="minorEastAsia" w:hAnsiTheme="minorEastAsia" w:eastAsiaTheme="minorEastAsia" w:cstheme="minorEastAsia"/>
          <w:color w:val="auto"/>
          <w:spacing w:val="-7"/>
        </w:rPr>
        <w:t xml:space="preserve">残疾人人数不少于 </w:t>
      </w:r>
      <w:r>
        <w:rPr>
          <w:rFonts w:hint="eastAsia" w:asciiTheme="minorEastAsia" w:hAnsiTheme="minorEastAsia" w:eastAsiaTheme="minorEastAsia" w:cstheme="minorEastAsia"/>
          <w:color w:val="auto"/>
        </w:rPr>
        <w:t>10 人（</w:t>
      </w:r>
      <w:r>
        <w:rPr>
          <w:rFonts w:hint="eastAsia" w:asciiTheme="minorEastAsia" w:hAnsiTheme="minorEastAsia" w:eastAsiaTheme="minorEastAsia" w:cstheme="minorEastAsia"/>
          <w:color w:val="auto"/>
          <w:spacing w:val="-30"/>
        </w:rPr>
        <w:t xml:space="preserve">含 </w:t>
      </w:r>
      <w:r>
        <w:rPr>
          <w:rFonts w:hint="eastAsia" w:asciiTheme="minorEastAsia" w:hAnsiTheme="minorEastAsia" w:eastAsiaTheme="minorEastAsia" w:cstheme="minorEastAsia"/>
          <w:color w:val="auto"/>
        </w:rPr>
        <w:t>10 人）；</w:t>
      </w:r>
    </w:p>
    <w:p w14:paraId="6D3DFAA2">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②依法与安置的每位残疾人签订了一年以上（含一年）的劳动合同或服务协议；</w:t>
      </w:r>
    </w:p>
    <w:p w14:paraId="55345859">
      <w:pPr>
        <w:pStyle w:val="6"/>
        <w:spacing w:before="112" w:line="328" w:lineRule="auto"/>
        <w:ind w:right="485"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③为安置的每位残疾人按月足额缴纳了基本养老保险、基本医疗保险、失业保险、工伤保险和生育保险等社会保险费；</w:t>
      </w:r>
    </w:p>
    <w:p w14:paraId="7977E0C3">
      <w:pPr>
        <w:pStyle w:val="6"/>
        <w:spacing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④通过银行等金融机构向安置的每位残疾人，按月支付了不低于单位所在区县适用</w:t>
      </w:r>
      <w:r>
        <w:rPr>
          <w:rFonts w:hint="eastAsia" w:asciiTheme="minorEastAsia" w:hAnsiTheme="minorEastAsia" w:eastAsiaTheme="minorEastAsia" w:cstheme="minorEastAsia"/>
          <w:color w:val="auto"/>
        </w:rPr>
        <w:t>的经省级人民政府批准的月最低工资标准的工资；</w:t>
      </w:r>
    </w:p>
    <w:p w14:paraId="32A6F1CC">
      <w:pPr>
        <w:pStyle w:val="6"/>
        <w:spacing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7"/>
        </w:rPr>
        <w:t>⑤提供本单位制造的货物、承担的工程或服务，或提供其他残疾人福利性单位制造</w:t>
      </w:r>
      <w:r>
        <w:rPr>
          <w:rFonts w:hint="eastAsia" w:asciiTheme="minorEastAsia" w:hAnsiTheme="minorEastAsia" w:eastAsiaTheme="minorEastAsia" w:cstheme="minorEastAsia"/>
          <w:color w:val="auto"/>
        </w:rPr>
        <w:t>的货物（不包括使用非残疾人福利性单位注册商标的货物）。</w:t>
      </w:r>
    </w:p>
    <w:p w14:paraId="26826AE1">
      <w:pPr>
        <w:pStyle w:val="6"/>
        <w:spacing w:before="39"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7"/>
        </w:rPr>
        <w:t>前款所称残疾人指法定劳动年龄内，持有《中华人民共和国残疾人证》或《中华人</w:t>
      </w:r>
      <w:r>
        <w:rPr>
          <w:rFonts w:hint="eastAsia" w:asciiTheme="minorEastAsia" w:hAnsiTheme="minorEastAsia" w:eastAsiaTheme="minorEastAsia" w:cstheme="minorEastAsia"/>
          <w:color w:val="auto"/>
          <w:spacing w:val="-2"/>
        </w:rPr>
        <w:t>民共和国残疾军人证</w:t>
      </w:r>
      <w:r>
        <w:rPr>
          <w:rFonts w:hint="eastAsia" w:asciiTheme="minorEastAsia" w:hAnsiTheme="minorEastAsia" w:eastAsiaTheme="minorEastAsia" w:cstheme="minorEastAsia"/>
          <w:color w:val="auto"/>
        </w:rPr>
        <w:t xml:space="preserve">（1 </w:t>
      </w:r>
      <w:r>
        <w:rPr>
          <w:rFonts w:hint="eastAsia" w:asciiTheme="minorEastAsia" w:hAnsiTheme="minorEastAsia" w:eastAsiaTheme="minorEastAsia" w:cstheme="minorEastAsia"/>
          <w:color w:val="auto"/>
          <w:spacing w:val="-30"/>
        </w:rPr>
        <w:t xml:space="preserve">至 </w:t>
      </w:r>
      <w:r>
        <w:rPr>
          <w:rFonts w:hint="eastAsia" w:asciiTheme="minorEastAsia" w:hAnsiTheme="minorEastAsia" w:eastAsiaTheme="minorEastAsia" w:cstheme="minorEastAsia"/>
          <w:color w:val="auto"/>
        </w:rPr>
        <w:t>8 级</w:t>
      </w:r>
      <w:r>
        <w:rPr>
          <w:rFonts w:hint="eastAsia" w:asciiTheme="minorEastAsia" w:hAnsiTheme="minorEastAsia" w:eastAsiaTheme="minorEastAsia" w:cstheme="minorEastAsia"/>
          <w:color w:val="auto"/>
          <w:spacing w:val="-10"/>
        </w:rPr>
        <w:t>）</w:t>
      </w:r>
      <w:r>
        <w:rPr>
          <w:rFonts w:hint="eastAsia" w:asciiTheme="minorEastAsia" w:hAnsiTheme="minorEastAsia" w:eastAsiaTheme="minorEastAsia" w:cstheme="minorEastAsia"/>
          <w:color w:val="auto"/>
          <w:spacing w:val="-6"/>
        </w:rPr>
        <w:t>》的自然人，包括具有劳动条件和劳动意愿的精神残</w:t>
      </w:r>
      <w:r>
        <w:rPr>
          <w:rFonts w:hint="eastAsia" w:asciiTheme="minorEastAsia" w:hAnsiTheme="minorEastAsia" w:eastAsiaTheme="minorEastAsia" w:cstheme="minorEastAsia"/>
          <w:color w:val="auto"/>
          <w:spacing w:val="-12"/>
        </w:rPr>
        <w:t>疾人。在职职工人数是指与残疾人福利性单位建立劳动关系并依法签订劳动合同或服务</w:t>
      </w:r>
      <w:r>
        <w:rPr>
          <w:rFonts w:hint="eastAsia" w:asciiTheme="minorEastAsia" w:hAnsiTheme="minorEastAsia" w:eastAsiaTheme="minorEastAsia" w:cstheme="minorEastAsia"/>
          <w:color w:val="auto"/>
        </w:rPr>
        <w:t>协议的雇员人数。</w:t>
      </w:r>
    </w:p>
    <w:p w14:paraId="3D15F278">
      <w:pPr>
        <w:pStyle w:val="6"/>
        <w:spacing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5"/>
        </w:rPr>
        <w:t>※符合上述条件的残疾人福利性单位参加采购活动时，应提供《残疾人福利性单位</w:t>
      </w:r>
      <w:r>
        <w:rPr>
          <w:rFonts w:hint="eastAsia" w:asciiTheme="minorEastAsia" w:hAnsiTheme="minorEastAsia" w:eastAsiaTheme="minorEastAsia" w:cstheme="minorEastAsia"/>
          <w:color w:val="auto"/>
          <w:spacing w:val="-10"/>
        </w:rPr>
        <w:t>声明函》，并对声明的真实性负责。残疾人福利性单位视同小型、微型企业。残疾人福</w:t>
      </w:r>
      <w:r>
        <w:rPr>
          <w:rFonts w:hint="eastAsia" w:asciiTheme="minorEastAsia" w:hAnsiTheme="minorEastAsia" w:eastAsiaTheme="minorEastAsia" w:cstheme="minorEastAsia"/>
          <w:color w:val="auto"/>
        </w:rPr>
        <w:t>利性单位属于小型、微型企业的，不重复享受政策。</w:t>
      </w:r>
    </w:p>
    <w:p w14:paraId="11206118">
      <w:pPr>
        <w:pStyle w:val="24"/>
        <w:numPr>
          <w:ilvl w:val="1"/>
          <w:numId w:val="42"/>
        </w:numPr>
        <w:tabs>
          <w:tab w:val="left" w:pos="1185"/>
        </w:tabs>
        <w:spacing w:before="0" w:after="0" w:line="328"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rPr>
        <w:t>信用记录指由财政部确定的有关网站提供的相关主体信用信息。信用记录的查</w:t>
      </w:r>
      <w:r>
        <w:rPr>
          <w:rFonts w:hint="eastAsia" w:asciiTheme="minorEastAsia" w:hAnsiTheme="minorEastAsia" w:eastAsiaTheme="minorEastAsia" w:cstheme="minorEastAsia"/>
          <w:color w:val="auto"/>
          <w:sz w:val="24"/>
        </w:rPr>
        <w:t>询及使用应符合财政部文件（财库[2016]125</w:t>
      </w:r>
      <w:r>
        <w:rPr>
          <w:rFonts w:hint="eastAsia" w:asciiTheme="minorEastAsia" w:hAnsiTheme="minorEastAsia" w:eastAsiaTheme="minorEastAsia" w:cstheme="minorEastAsia"/>
          <w:color w:val="auto"/>
          <w:spacing w:val="3"/>
          <w:sz w:val="24"/>
        </w:rPr>
        <w:t xml:space="preserve"> </w:t>
      </w:r>
      <w:r>
        <w:rPr>
          <w:rFonts w:hint="eastAsia" w:asciiTheme="minorEastAsia" w:hAnsiTheme="minorEastAsia" w:eastAsiaTheme="minorEastAsia" w:cstheme="minorEastAsia"/>
          <w:color w:val="auto"/>
          <w:sz w:val="24"/>
        </w:rPr>
        <w:t>号）规定。</w:t>
      </w:r>
    </w:p>
    <w:p w14:paraId="7ABF560C">
      <w:pPr>
        <w:pStyle w:val="24"/>
        <w:numPr>
          <w:ilvl w:val="1"/>
          <w:numId w:val="42"/>
        </w:numPr>
        <w:tabs>
          <w:tab w:val="left" w:pos="1185"/>
        </w:tabs>
        <w:spacing w:before="0" w:after="0" w:line="328" w:lineRule="auto"/>
        <w:ind w:left="220" w:right="2399" w:firstLine="480"/>
        <w:jc w:val="left"/>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color w:val="auto"/>
          <w:spacing w:val="-1"/>
          <w:sz w:val="24"/>
        </w:rPr>
        <w:t>为落实政府采购政策需满足的要求：详见招标文件第一章。</w:t>
      </w:r>
      <w:bookmarkStart w:id="30" w:name="九、本项目的有关信息"/>
      <w:bookmarkEnd w:id="30"/>
      <w:r>
        <w:rPr>
          <w:rFonts w:hint="eastAsia" w:asciiTheme="minorEastAsia" w:hAnsiTheme="minorEastAsia" w:eastAsiaTheme="minorEastAsia" w:cstheme="minorEastAsia"/>
          <w:b/>
          <w:color w:val="auto"/>
          <w:sz w:val="24"/>
        </w:rPr>
        <w:t>九、本项目的有关信息</w:t>
      </w:r>
    </w:p>
    <w:p w14:paraId="2A5D1C79">
      <w:pPr>
        <w:pStyle w:val="6"/>
        <w:spacing w:line="328"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18</w:t>
      </w:r>
      <w:r>
        <w:rPr>
          <w:rFonts w:hint="eastAsia" w:asciiTheme="minorEastAsia" w:hAnsiTheme="minorEastAsia" w:eastAsiaTheme="minorEastAsia" w:cstheme="minorEastAsia"/>
          <w:color w:val="auto"/>
          <w:spacing w:val="-13"/>
        </w:rPr>
        <w:t>、本项目的有关信息，包括但不限于：招标公告、更正公告</w:t>
      </w:r>
      <w:r>
        <w:rPr>
          <w:rFonts w:hint="eastAsia" w:asciiTheme="minorEastAsia" w:hAnsiTheme="minorEastAsia" w:eastAsiaTheme="minorEastAsia" w:cstheme="minorEastAsia"/>
          <w:color w:val="auto"/>
        </w:rPr>
        <w:t>（若有</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spacing w:val="-9"/>
        </w:rPr>
        <w:t>、招标文件、</w:t>
      </w:r>
      <w:r>
        <w:rPr>
          <w:rFonts w:hint="eastAsia" w:asciiTheme="minorEastAsia" w:hAnsiTheme="minorEastAsia" w:eastAsiaTheme="minorEastAsia" w:cstheme="minorEastAsia"/>
          <w:color w:val="auto"/>
          <w:spacing w:val="-1"/>
        </w:rPr>
        <w:t>招标文件的澄清或修改</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rPr>
        <w:t>若有</w:t>
      </w:r>
      <w:r>
        <w:rPr>
          <w:rFonts w:hint="eastAsia" w:asciiTheme="minorEastAsia" w:hAnsiTheme="minorEastAsia" w:eastAsiaTheme="minorEastAsia" w:cstheme="minorEastAsia"/>
          <w:color w:val="auto"/>
          <w:spacing w:val="-10"/>
        </w:rPr>
        <w:t>）</w:t>
      </w:r>
      <w:r>
        <w:rPr>
          <w:rFonts w:hint="eastAsia" w:asciiTheme="minorEastAsia" w:hAnsiTheme="minorEastAsia" w:eastAsiaTheme="minorEastAsia" w:cstheme="minorEastAsia"/>
          <w:color w:val="auto"/>
          <w:spacing w:val="-6"/>
        </w:rPr>
        <w:t>、中标公告、终止公告</w:t>
      </w:r>
      <w:r>
        <w:rPr>
          <w:rFonts w:hint="eastAsia" w:asciiTheme="minorEastAsia" w:hAnsiTheme="minorEastAsia" w:eastAsiaTheme="minorEastAsia" w:cstheme="minorEastAsia"/>
          <w:color w:val="auto"/>
        </w:rPr>
        <w:t>（若有</w:t>
      </w:r>
      <w:r>
        <w:rPr>
          <w:rFonts w:hint="eastAsia" w:asciiTheme="minorEastAsia" w:hAnsiTheme="minorEastAsia" w:eastAsiaTheme="minorEastAsia" w:cstheme="minorEastAsia"/>
          <w:color w:val="auto"/>
          <w:spacing w:val="-10"/>
        </w:rPr>
        <w:t>）</w:t>
      </w:r>
      <w:r>
        <w:rPr>
          <w:rFonts w:hint="eastAsia" w:asciiTheme="minorEastAsia" w:hAnsiTheme="minorEastAsia" w:eastAsiaTheme="minorEastAsia" w:cstheme="minorEastAsia"/>
          <w:color w:val="auto"/>
          <w:spacing w:val="-5"/>
        </w:rPr>
        <w:t>、废标公告</w:t>
      </w:r>
      <w:r>
        <w:rPr>
          <w:rFonts w:hint="eastAsia" w:asciiTheme="minorEastAsia" w:hAnsiTheme="minorEastAsia" w:eastAsiaTheme="minorEastAsia" w:cstheme="minorEastAsia"/>
          <w:color w:val="auto"/>
        </w:rPr>
        <w:t>（若有</w:t>
      </w:r>
      <w:r>
        <w:rPr>
          <w:rFonts w:hint="eastAsia" w:asciiTheme="minorEastAsia" w:hAnsiTheme="minorEastAsia" w:eastAsiaTheme="minorEastAsia" w:cstheme="minorEastAsia"/>
          <w:color w:val="auto"/>
          <w:spacing w:val="-10"/>
        </w:rPr>
        <w:t>）</w:t>
      </w:r>
      <w:r>
        <w:rPr>
          <w:rFonts w:hint="eastAsia" w:asciiTheme="minorEastAsia" w:hAnsiTheme="minorEastAsia" w:eastAsiaTheme="minorEastAsia" w:cstheme="minorEastAsia"/>
          <w:color w:val="auto"/>
        </w:rPr>
        <w:t>等都将在招标文件载明的指定媒体发布。</w:t>
      </w:r>
    </w:p>
    <w:p w14:paraId="45D5C80D">
      <w:pPr>
        <w:pStyle w:val="24"/>
        <w:numPr>
          <w:ilvl w:val="1"/>
          <w:numId w:val="45"/>
        </w:numPr>
        <w:tabs>
          <w:tab w:val="left" w:pos="1185"/>
        </w:tabs>
        <w:spacing w:before="0" w:after="0" w:line="304" w:lineRule="exact"/>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指定媒体：详见招标文件第二章。</w:t>
      </w:r>
    </w:p>
    <w:p w14:paraId="607C55C8">
      <w:pPr>
        <w:pStyle w:val="24"/>
        <w:numPr>
          <w:ilvl w:val="1"/>
          <w:numId w:val="45"/>
        </w:numPr>
        <w:tabs>
          <w:tab w:val="left" w:pos="1185"/>
        </w:tabs>
        <w:spacing w:before="98" w:after="0" w:line="328"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rPr>
        <w:t>本项目的潜在投标人或投标人应随时关注指定媒体，否则产生不利后果由其自</w:t>
      </w:r>
      <w:r>
        <w:rPr>
          <w:rFonts w:hint="eastAsia" w:asciiTheme="minorEastAsia" w:hAnsiTheme="minorEastAsia" w:eastAsiaTheme="minorEastAsia" w:cstheme="minorEastAsia"/>
          <w:color w:val="auto"/>
          <w:sz w:val="24"/>
        </w:rPr>
        <w:t>行承担。</w:t>
      </w:r>
    </w:p>
    <w:p w14:paraId="278B5102">
      <w:pPr>
        <w:pStyle w:val="4"/>
        <w:spacing w:line="305" w:lineRule="exact"/>
        <w:rPr>
          <w:rFonts w:hint="eastAsia" w:asciiTheme="minorEastAsia" w:hAnsiTheme="minorEastAsia" w:eastAsiaTheme="minorEastAsia" w:cstheme="minorEastAsia"/>
          <w:color w:val="auto"/>
        </w:rPr>
      </w:pPr>
      <w:bookmarkStart w:id="31" w:name="十、其他事项"/>
      <w:bookmarkEnd w:id="31"/>
      <w:r>
        <w:rPr>
          <w:rFonts w:hint="eastAsia" w:asciiTheme="minorEastAsia" w:hAnsiTheme="minorEastAsia" w:eastAsiaTheme="minorEastAsia" w:cstheme="minorEastAsia"/>
          <w:color w:val="auto"/>
        </w:rPr>
        <w:t>十、其他事项</w:t>
      </w:r>
    </w:p>
    <w:p w14:paraId="1293173C">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19、其他事项：</w:t>
      </w:r>
    </w:p>
    <w:p w14:paraId="233C4E77">
      <w:pPr>
        <w:pStyle w:val="24"/>
        <w:numPr>
          <w:ilvl w:val="1"/>
          <w:numId w:val="46"/>
        </w:numPr>
        <w:tabs>
          <w:tab w:val="left" w:pos="1185"/>
        </w:tabs>
        <w:spacing w:before="112" w:after="0" w:line="240" w:lineRule="auto"/>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rPr>
        <w:t>本项目中如涉及商品包装和快递包装的，其包装需求标准应不低于《关于印发</w:t>
      </w:r>
    </w:p>
    <w:p w14:paraId="175767DA">
      <w:pPr>
        <w:pStyle w:val="6"/>
        <w:spacing w:before="113"/>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〈商品包装政府采购需求标准(试行)〉、〈快递包装政府采购需求标准(试行)〉的通知》</w:t>
      </w:r>
    </w:p>
    <w:p w14:paraId="3D51CD68">
      <w:pPr>
        <w:pStyle w:val="6"/>
        <w:spacing w:before="112" w:line="328" w:lineRule="auto"/>
        <w:ind w:right="5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（财办库〔2020〕123 号）规定的包装要求，其他包装需求详见招标文件具体规定。采购人、中标人双方签订合同及验收环节，应包含上述包装要求的条款。</w:t>
      </w:r>
    </w:p>
    <w:p w14:paraId="565FD434">
      <w:pPr>
        <w:pStyle w:val="24"/>
        <w:numPr>
          <w:ilvl w:val="1"/>
          <w:numId w:val="46"/>
        </w:numPr>
        <w:tabs>
          <w:tab w:val="left" w:pos="1185"/>
        </w:tabs>
        <w:spacing w:before="0" w:after="0" w:line="305" w:lineRule="exact"/>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其他：详见招标文件第二章。</w:t>
      </w:r>
    </w:p>
    <w:p w14:paraId="3F2DB8C8">
      <w:pPr>
        <w:spacing w:after="0"/>
        <w:rPr>
          <w:rFonts w:hint="eastAsia" w:asciiTheme="minorEastAsia" w:hAnsiTheme="minorEastAsia" w:eastAsiaTheme="minorEastAsia" w:cstheme="minorEastAsia"/>
          <w:color w:val="auto"/>
          <w:sz w:val="20"/>
        </w:rPr>
        <w:sectPr>
          <w:footerReference r:id="rId7" w:type="default"/>
          <w:pgSz w:w="11910" w:h="16840"/>
          <w:pgMar w:top="1480" w:right="860" w:bottom="1160" w:left="1220" w:header="0" w:footer="890" w:gutter="0"/>
          <w:pgNumType w:fmt="decimal"/>
          <w:cols w:space="720" w:num="1"/>
        </w:sectPr>
      </w:pPr>
    </w:p>
    <w:p w14:paraId="1FEEF3AA">
      <w:pPr>
        <w:pStyle w:val="4"/>
        <w:spacing w:before="1"/>
        <w:rPr>
          <w:rFonts w:hint="eastAsia" w:asciiTheme="minorEastAsia" w:hAnsiTheme="minorEastAsia" w:eastAsiaTheme="minorEastAsia" w:cstheme="minorEastAsia"/>
          <w:color w:val="auto"/>
        </w:rPr>
      </w:pPr>
      <w:bookmarkStart w:id="32" w:name="一、资格审查"/>
      <w:bookmarkEnd w:id="32"/>
    </w:p>
    <w:p w14:paraId="70D00083">
      <w:pPr>
        <w:pStyle w:val="4"/>
        <w:spacing w:before="1"/>
        <w:jc w:val="cente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color w:val="auto"/>
          <w:sz w:val="32"/>
        </w:rPr>
        <w:t>第四章 资格审查与评标</w:t>
      </w:r>
    </w:p>
    <w:p w14:paraId="2425C0B3">
      <w:pPr>
        <w:pStyle w:val="4"/>
        <w:spacing w:before="1"/>
        <w:rPr>
          <w:rFonts w:hint="eastAsia" w:asciiTheme="minorEastAsia" w:hAnsiTheme="minorEastAsia" w:eastAsiaTheme="minorEastAsia" w:cstheme="minorEastAsia"/>
          <w:color w:val="auto"/>
        </w:rPr>
      </w:pPr>
    </w:p>
    <w:p w14:paraId="2FBBF01D">
      <w:pPr>
        <w:pStyle w:val="4"/>
        <w:spacing w:before="1"/>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一、资格审查</w:t>
      </w:r>
    </w:p>
    <w:p w14:paraId="7D0A3240">
      <w:pPr>
        <w:pStyle w:val="6"/>
        <w:spacing w:before="112" w:line="328" w:lineRule="auto"/>
        <w:ind w:right="577" w:firstLine="480"/>
        <w:rPr>
          <w:rFonts w:hint="eastAsia" w:asciiTheme="minorEastAsia" w:hAnsiTheme="minorEastAsia" w:eastAsiaTheme="minorEastAsia" w:cstheme="minorEastAsia"/>
          <w:color w:val="auto"/>
        </w:rPr>
      </w:pPr>
      <w:bookmarkStart w:id="33" w:name="第四章 资格审查与评标"/>
      <w:bookmarkEnd w:id="33"/>
      <w:r>
        <w:rPr>
          <w:rFonts w:hint="eastAsia" w:asciiTheme="minorEastAsia" w:hAnsiTheme="minorEastAsia" w:eastAsiaTheme="minorEastAsia" w:cstheme="minorEastAsia"/>
          <w:color w:val="auto"/>
        </w:rPr>
        <w:t>1、开标结束后，由</w:t>
      </w:r>
      <w:r>
        <w:rPr>
          <w:rFonts w:hint="eastAsia" w:asciiTheme="minorEastAsia" w:hAnsiTheme="minorEastAsia" w:eastAsiaTheme="minorEastAsia" w:cstheme="minorEastAsia"/>
          <w:color w:val="auto"/>
          <w:lang w:eastAsia="zh-CN"/>
        </w:rPr>
        <w:t>锐驰项目管理有限公司</w:t>
      </w:r>
      <w:r>
        <w:rPr>
          <w:rFonts w:hint="eastAsia" w:asciiTheme="minorEastAsia" w:hAnsiTheme="minorEastAsia" w:eastAsiaTheme="minorEastAsia" w:cstheme="minorEastAsia"/>
          <w:color w:val="auto"/>
        </w:rPr>
        <w:t>负责资格审查小组的组建及资格审查工作的组织。</w:t>
      </w:r>
    </w:p>
    <w:p w14:paraId="142CF5ED">
      <w:pPr>
        <w:pStyle w:val="6"/>
        <w:spacing w:before="112" w:line="328" w:lineRule="auto"/>
        <w:ind w:right="577" w:firstLine="480"/>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1.1、资格审查小组应当依法对投标人的资格进行审查。资格审查小组由 3 人 组成，并负责具体审查事务。其中：由福建省政府采购评审专家库中抽取2 人，由采购代理机构 派出的工作人员 1 人。</w:t>
      </w:r>
    </w:p>
    <w:p w14:paraId="06E5EB6A">
      <w:pPr>
        <w:pStyle w:val="24"/>
        <w:numPr>
          <w:ilvl w:val="1"/>
          <w:numId w:val="47"/>
        </w:numPr>
        <w:tabs>
          <w:tab w:val="left" w:pos="1063"/>
        </w:tabs>
        <w:spacing w:before="0" w:after="0" w:line="305" w:lineRule="exact"/>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资格审查的依据是招标文件和投标文件。</w:t>
      </w:r>
    </w:p>
    <w:p w14:paraId="439F1393">
      <w:pPr>
        <w:pStyle w:val="24"/>
        <w:numPr>
          <w:ilvl w:val="1"/>
          <w:numId w:val="47"/>
        </w:numPr>
        <w:tabs>
          <w:tab w:val="left" w:pos="1063"/>
        </w:tabs>
        <w:spacing w:before="113"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资格审查的范围及内容：投标文件（资格及资信证明部分），具体如下：</w:t>
      </w:r>
    </w:p>
    <w:p w14:paraId="497B9A11">
      <w:pPr>
        <w:pStyle w:val="24"/>
        <w:numPr>
          <w:ilvl w:val="0"/>
          <w:numId w:val="48"/>
        </w:numPr>
        <w:tabs>
          <w:tab w:val="left" w:pos="1301"/>
        </w:tabs>
        <w:spacing w:before="112"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“投标函”；</w:t>
      </w:r>
    </w:p>
    <w:p w14:paraId="678DC3F7">
      <w:pPr>
        <w:pStyle w:val="24"/>
        <w:numPr>
          <w:ilvl w:val="0"/>
          <w:numId w:val="48"/>
        </w:numPr>
        <w:tabs>
          <w:tab w:val="left" w:pos="1301"/>
        </w:tabs>
        <w:spacing w:before="113"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“投标人的资格及资信证明文件”</w:t>
      </w:r>
    </w:p>
    <w:p w14:paraId="35A31573">
      <w:pPr>
        <w:pStyle w:val="6"/>
        <w:spacing w:before="39"/>
        <w:ind w:left="0" w:leftChars="0"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①一般资格证明文件：</w:t>
      </w:r>
    </w:p>
    <w:p w14:paraId="6432B503">
      <w:pPr>
        <w:pStyle w:val="4"/>
        <w:spacing w:before="112" w:after="16"/>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采购包 1：</w:t>
      </w:r>
    </w:p>
    <w:tbl>
      <w:tblPr>
        <w:tblStyle w:val="18"/>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04"/>
        <w:gridCol w:w="1422"/>
        <w:gridCol w:w="7209"/>
      </w:tblGrid>
      <w:tr w14:paraId="5222D8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0" w:hRule="atLeast"/>
        </w:trPr>
        <w:tc>
          <w:tcPr>
            <w:tcW w:w="604" w:type="dxa"/>
            <w:vAlign w:val="top"/>
          </w:tcPr>
          <w:p w14:paraId="7018CF18">
            <w:pPr>
              <w:pStyle w:val="25"/>
              <w:spacing w:before="1" w:line="420" w:lineRule="exact"/>
              <w:ind w:left="182" w:right="174"/>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序号</w:t>
            </w:r>
          </w:p>
        </w:tc>
        <w:tc>
          <w:tcPr>
            <w:tcW w:w="1422" w:type="dxa"/>
            <w:vAlign w:val="top"/>
          </w:tcPr>
          <w:p w14:paraId="404D0573">
            <w:pPr>
              <w:pStyle w:val="25"/>
              <w:spacing w:before="1" w:line="420" w:lineRule="exact"/>
              <w:ind w:left="351" w:right="103" w:hanging="24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资格审查要求概况</w:t>
            </w:r>
          </w:p>
        </w:tc>
        <w:tc>
          <w:tcPr>
            <w:tcW w:w="7209" w:type="dxa"/>
            <w:vAlign w:val="top"/>
          </w:tcPr>
          <w:p w14:paraId="0B0D1DF0">
            <w:pPr>
              <w:pStyle w:val="25"/>
              <w:rPr>
                <w:rFonts w:hint="eastAsia" w:asciiTheme="minorEastAsia" w:hAnsiTheme="minorEastAsia" w:eastAsiaTheme="minorEastAsia" w:cstheme="minorEastAsia"/>
                <w:b/>
                <w:color w:val="auto"/>
                <w:sz w:val="24"/>
              </w:rPr>
            </w:pPr>
          </w:p>
          <w:p w14:paraId="04047B3C">
            <w:pPr>
              <w:pStyle w:val="25"/>
              <w:ind w:left="2744" w:right="274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评审点具体描述</w:t>
            </w:r>
          </w:p>
        </w:tc>
      </w:tr>
      <w:tr w14:paraId="3FAF77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9" w:hRule="atLeast"/>
        </w:trPr>
        <w:tc>
          <w:tcPr>
            <w:tcW w:w="604" w:type="dxa"/>
            <w:vAlign w:val="top"/>
          </w:tcPr>
          <w:p w14:paraId="233A7FA1">
            <w:pPr>
              <w:pStyle w:val="25"/>
              <w:rPr>
                <w:rFonts w:hint="eastAsia" w:asciiTheme="minorEastAsia" w:hAnsiTheme="minorEastAsia" w:eastAsiaTheme="minorEastAsia" w:cstheme="minorEastAsia"/>
                <w:b/>
                <w:color w:val="auto"/>
                <w:sz w:val="24"/>
              </w:rPr>
            </w:pPr>
          </w:p>
          <w:p w14:paraId="6BC07623">
            <w:pPr>
              <w:pStyle w:val="25"/>
              <w:spacing w:before="8"/>
              <w:rPr>
                <w:rFonts w:hint="eastAsia" w:asciiTheme="minorEastAsia" w:hAnsiTheme="minorEastAsia" w:eastAsiaTheme="minorEastAsia" w:cstheme="minorEastAsia"/>
                <w:b/>
                <w:color w:val="auto"/>
                <w:sz w:val="33"/>
              </w:rPr>
            </w:pPr>
          </w:p>
          <w:p w14:paraId="2340C698">
            <w:pPr>
              <w:pStyle w:val="25"/>
              <w:ind w:left="2"/>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1422" w:type="dxa"/>
            <w:vAlign w:val="top"/>
          </w:tcPr>
          <w:p w14:paraId="792B88A1">
            <w:pPr>
              <w:pStyle w:val="25"/>
              <w:rPr>
                <w:rFonts w:hint="eastAsia" w:asciiTheme="minorEastAsia" w:hAnsiTheme="minorEastAsia" w:eastAsiaTheme="minorEastAsia" w:cstheme="minorEastAsia"/>
                <w:b/>
                <w:color w:val="auto"/>
                <w:sz w:val="24"/>
              </w:rPr>
            </w:pPr>
          </w:p>
          <w:p w14:paraId="25999050">
            <w:pPr>
              <w:pStyle w:val="25"/>
              <w:spacing w:before="9"/>
              <w:rPr>
                <w:rFonts w:hint="eastAsia" w:asciiTheme="minorEastAsia" w:hAnsiTheme="minorEastAsia" w:eastAsiaTheme="minorEastAsia" w:cstheme="minorEastAsia"/>
                <w:b/>
                <w:color w:val="auto"/>
                <w:sz w:val="32"/>
              </w:rPr>
            </w:pPr>
          </w:p>
          <w:p w14:paraId="493A2A81">
            <w:pPr>
              <w:pStyle w:val="25"/>
              <w:ind w:left="111"/>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单位授权书</w:t>
            </w:r>
          </w:p>
        </w:tc>
        <w:tc>
          <w:tcPr>
            <w:tcW w:w="7209" w:type="dxa"/>
            <w:vAlign w:val="top"/>
          </w:tcPr>
          <w:p w14:paraId="4379B63D">
            <w:pPr>
              <w:pStyle w:val="25"/>
              <w:spacing w:before="95" w:line="328" w:lineRule="auto"/>
              <w:ind w:left="107" w:right="-2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8"/>
                <w:sz w:val="24"/>
              </w:rPr>
              <w:t>①投标人</w:t>
            </w:r>
            <w:r>
              <w:rPr>
                <w:rFonts w:hint="eastAsia" w:asciiTheme="minorEastAsia" w:hAnsiTheme="minorEastAsia" w:eastAsiaTheme="minorEastAsia" w:cstheme="minorEastAsia"/>
                <w:color w:val="auto"/>
                <w:sz w:val="24"/>
              </w:rPr>
              <w:t>（自然人除外</w:t>
            </w:r>
            <w:r>
              <w:rPr>
                <w:rFonts w:hint="eastAsia" w:asciiTheme="minorEastAsia" w:hAnsiTheme="minorEastAsia" w:eastAsiaTheme="minorEastAsia" w:cstheme="minorEastAsia"/>
                <w:color w:val="auto"/>
                <w:spacing w:val="-29"/>
                <w:sz w:val="24"/>
              </w:rPr>
              <w:t>）：</w:t>
            </w:r>
            <w:r>
              <w:rPr>
                <w:rFonts w:hint="eastAsia" w:asciiTheme="minorEastAsia" w:hAnsiTheme="minorEastAsia" w:eastAsiaTheme="minorEastAsia" w:cstheme="minorEastAsia"/>
                <w:color w:val="auto"/>
                <w:sz w:val="24"/>
              </w:rPr>
              <w:t>若投标人代表为单位授权的委托代理人， 应提供本授权书；若投标人代表为单位负责人，应在此项下提交其身份证正反面复印件，可不提供本授权书。 ②投标人为自然人的，</w:t>
            </w:r>
          </w:p>
          <w:p w14:paraId="050DDB0F">
            <w:pPr>
              <w:pStyle w:val="25"/>
              <w:spacing w:line="299" w:lineRule="exact"/>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可不填写本授权书。</w:t>
            </w:r>
          </w:p>
        </w:tc>
      </w:tr>
      <w:tr w14:paraId="271083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0" w:hRule="atLeast"/>
        </w:trPr>
        <w:tc>
          <w:tcPr>
            <w:tcW w:w="604" w:type="dxa"/>
            <w:vAlign w:val="top"/>
          </w:tcPr>
          <w:p w14:paraId="632307CB">
            <w:pPr>
              <w:pStyle w:val="25"/>
              <w:rPr>
                <w:rFonts w:hint="eastAsia" w:asciiTheme="minorEastAsia" w:hAnsiTheme="minorEastAsia" w:eastAsiaTheme="minorEastAsia" w:cstheme="minorEastAsia"/>
                <w:b/>
                <w:color w:val="auto"/>
                <w:sz w:val="24"/>
              </w:rPr>
            </w:pPr>
          </w:p>
          <w:p w14:paraId="58931E8D">
            <w:pPr>
              <w:pStyle w:val="25"/>
              <w:rPr>
                <w:rFonts w:hint="eastAsia" w:asciiTheme="minorEastAsia" w:hAnsiTheme="minorEastAsia" w:eastAsiaTheme="minorEastAsia" w:cstheme="minorEastAsia"/>
                <w:b/>
                <w:color w:val="auto"/>
                <w:sz w:val="24"/>
              </w:rPr>
            </w:pPr>
          </w:p>
          <w:p w14:paraId="0EA406C4">
            <w:pPr>
              <w:pStyle w:val="25"/>
              <w:rPr>
                <w:rFonts w:hint="eastAsia" w:asciiTheme="minorEastAsia" w:hAnsiTheme="minorEastAsia" w:eastAsiaTheme="minorEastAsia" w:cstheme="minorEastAsia"/>
                <w:b/>
                <w:color w:val="auto"/>
                <w:sz w:val="24"/>
              </w:rPr>
            </w:pPr>
          </w:p>
          <w:p w14:paraId="71CA1AC0">
            <w:pPr>
              <w:pStyle w:val="25"/>
              <w:spacing w:before="9"/>
              <w:rPr>
                <w:rFonts w:hint="eastAsia" w:asciiTheme="minorEastAsia" w:hAnsiTheme="minorEastAsia" w:eastAsiaTheme="minorEastAsia" w:cstheme="minorEastAsia"/>
                <w:b/>
                <w:color w:val="auto"/>
                <w:sz w:val="34"/>
              </w:rPr>
            </w:pPr>
          </w:p>
          <w:p w14:paraId="617E367F">
            <w:pPr>
              <w:pStyle w:val="25"/>
              <w:spacing w:before="1"/>
              <w:ind w:left="2"/>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w:t>
            </w:r>
          </w:p>
        </w:tc>
        <w:tc>
          <w:tcPr>
            <w:tcW w:w="1422" w:type="dxa"/>
            <w:vAlign w:val="top"/>
          </w:tcPr>
          <w:p w14:paraId="60DB9DF7">
            <w:pPr>
              <w:pStyle w:val="25"/>
              <w:rPr>
                <w:rFonts w:hint="eastAsia" w:asciiTheme="minorEastAsia" w:hAnsiTheme="minorEastAsia" w:eastAsiaTheme="minorEastAsia" w:cstheme="minorEastAsia"/>
                <w:b/>
                <w:color w:val="auto"/>
                <w:sz w:val="24"/>
              </w:rPr>
            </w:pPr>
          </w:p>
          <w:p w14:paraId="21F438AF">
            <w:pPr>
              <w:pStyle w:val="25"/>
              <w:rPr>
                <w:rFonts w:hint="eastAsia" w:asciiTheme="minorEastAsia" w:hAnsiTheme="minorEastAsia" w:eastAsiaTheme="minorEastAsia" w:cstheme="minorEastAsia"/>
                <w:b/>
                <w:color w:val="auto"/>
                <w:sz w:val="24"/>
              </w:rPr>
            </w:pPr>
          </w:p>
          <w:p w14:paraId="5FD83B77">
            <w:pPr>
              <w:pStyle w:val="25"/>
              <w:rPr>
                <w:rFonts w:hint="eastAsia" w:asciiTheme="minorEastAsia" w:hAnsiTheme="minorEastAsia" w:eastAsiaTheme="minorEastAsia" w:cstheme="minorEastAsia"/>
                <w:b/>
                <w:color w:val="auto"/>
                <w:sz w:val="24"/>
              </w:rPr>
            </w:pPr>
          </w:p>
          <w:p w14:paraId="4B703D69">
            <w:pPr>
              <w:pStyle w:val="25"/>
              <w:spacing w:before="7"/>
              <w:rPr>
                <w:rFonts w:hint="eastAsia" w:asciiTheme="minorEastAsia" w:hAnsiTheme="minorEastAsia" w:eastAsiaTheme="minorEastAsia" w:cstheme="minorEastAsia"/>
                <w:b/>
                <w:color w:val="auto"/>
                <w:sz w:val="17"/>
              </w:rPr>
            </w:pPr>
          </w:p>
          <w:p w14:paraId="50EF0363">
            <w:pPr>
              <w:pStyle w:val="25"/>
              <w:spacing w:line="328" w:lineRule="auto"/>
              <w:ind w:left="231" w:right="103" w:hanging="12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营业执照等证明文件</w:t>
            </w:r>
          </w:p>
        </w:tc>
        <w:tc>
          <w:tcPr>
            <w:tcW w:w="7209" w:type="dxa"/>
            <w:vAlign w:val="top"/>
          </w:tcPr>
          <w:p w14:paraId="43355C8F">
            <w:pPr>
              <w:pStyle w:val="25"/>
              <w:spacing w:line="420" w:lineRule="exact"/>
              <w:ind w:left="107" w:right="-2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①投标人为企业的，提供有效的营业执照复印件；投标人为事业单</w:t>
            </w:r>
            <w:r>
              <w:rPr>
                <w:rFonts w:hint="eastAsia" w:asciiTheme="minorEastAsia" w:hAnsiTheme="minorEastAsia" w:eastAsiaTheme="minorEastAsia" w:cstheme="minorEastAsia"/>
                <w:color w:val="auto"/>
                <w:spacing w:val="-9"/>
                <w:sz w:val="24"/>
              </w:rPr>
              <w:t>位的，提供有效的事业单位法人证书复印件；投标人为社会团体的， 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14:paraId="08C805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604" w:type="dxa"/>
            <w:vAlign w:val="top"/>
          </w:tcPr>
          <w:p w14:paraId="2C1F2BA7">
            <w:pPr>
              <w:pStyle w:val="25"/>
              <w:rPr>
                <w:rFonts w:hint="eastAsia" w:asciiTheme="minorEastAsia" w:hAnsiTheme="minorEastAsia" w:eastAsiaTheme="minorEastAsia" w:cstheme="minorEastAsia"/>
                <w:b/>
                <w:color w:val="auto"/>
                <w:sz w:val="24"/>
              </w:rPr>
            </w:pPr>
          </w:p>
          <w:p w14:paraId="33D420CB">
            <w:pPr>
              <w:pStyle w:val="25"/>
              <w:rPr>
                <w:rFonts w:hint="eastAsia" w:asciiTheme="minorEastAsia" w:hAnsiTheme="minorEastAsia" w:eastAsiaTheme="minorEastAsia" w:cstheme="minorEastAsia"/>
                <w:b/>
                <w:color w:val="auto"/>
                <w:sz w:val="24"/>
              </w:rPr>
            </w:pPr>
          </w:p>
          <w:p w14:paraId="5A8A415C">
            <w:pPr>
              <w:pStyle w:val="25"/>
              <w:rPr>
                <w:rFonts w:hint="eastAsia" w:asciiTheme="minorEastAsia" w:hAnsiTheme="minorEastAsia" w:eastAsiaTheme="minorEastAsia" w:cstheme="minorEastAsia"/>
                <w:b/>
                <w:color w:val="auto"/>
                <w:sz w:val="24"/>
              </w:rPr>
            </w:pPr>
          </w:p>
          <w:p w14:paraId="0972576F">
            <w:pPr>
              <w:pStyle w:val="25"/>
              <w:rPr>
                <w:rFonts w:hint="eastAsia" w:asciiTheme="minorEastAsia" w:hAnsiTheme="minorEastAsia" w:eastAsiaTheme="minorEastAsia" w:cstheme="minorEastAsia"/>
                <w:b/>
                <w:color w:val="auto"/>
                <w:sz w:val="24"/>
              </w:rPr>
            </w:pPr>
          </w:p>
          <w:p w14:paraId="7CAAB72D">
            <w:pPr>
              <w:pStyle w:val="25"/>
              <w:spacing w:before="3"/>
              <w:rPr>
                <w:rFonts w:hint="eastAsia" w:asciiTheme="minorEastAsia" w:hAnsiTheme="minorEastAsia" w:eastAsiaTheme="minorEastAsia" w:cstheme="minorEastAsia"/>
                <w:b/>
                <w:color w:val="auto"/>
                <w:sz w:val="27"/>
              </w:rPr>
            </w:pPr>
          </w:p>
          <w:p w14:paraId="367A98A8">
            <w:pPr>
              <w:pStyle w:val="25"/>
              <w:ind w:left="2"/>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w:t>
            </w:r>
          </w:p>
        </w:tc>
        <w:tc>
          <w:tcPr>
            <w:tcW w:w="1422" w:type="dxa"/>
            <w:vAlign w:val="top"/>
          </w:tcPr>
          <w:p w14:paraId="3E939AD6">
            <w:pPr>
              <w:pStyle w:val="25"/>
              <w:spacing w:before="1" w:line="328" w:lineRule="auto"/>
              <w:ind w:right="103"/>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提供财务状况报告(财务报告、或资信证明）</w:t>
            </w:r>
          </w:p>
        </w:tc>
        <w:tc>
          <w:tcPr>
            <w:tcW w:w="7209" w:type="dxa"/>
            <w:vAlign w:val="top"/>
          </w:tcPr>
          <w:p w14:paraId="68216D50">
            <w:pPr>
              <w:pStyle w:val="25"/>
              <w:spacing w:before="112" w:line="304" w:lineRule="exact"/>
              <w:ind w:left="107"/>
              <w:rPr>
                <w:rFonts w:hint="eastAsia" w:asciiTheme="minorEastAsia" w:hAnsiTheme="minorEastAsia" w:eastAsiaTheme="minorEastAsia" w:cstheme="minorEastAsia"/>
                <w:color w:val="auto"/>
                <w:sz w:val="24"/>
              </w:rPr>
            </w:pPr>
            <w:r>
              <w:rPr>
                <w:rFonts w:ascii="宋体" w:hAnsi="宋体" w:cs="宋体"/>
                <w:color w:val="auto"/>
                <w:sz w:val="24"/>
                <w:lang w:bidi="ar"/>
              </w:rPr>
              <w:t>①</w:t>
            </w:r>
            <w:r>
              <w:rPr>
                <w:rFonts w:hint="eastAsia" w:asciiTheme="minorEastAsia" w:hAnsiTheme="minorEastAsia" w:eastAsiaTheme="minorEastAsia" w:cstheme="minorEastAsia"/>
                <w:color w:val="auto"/>
                <w:spacing w:val="-1"/>
                <w:sz w:val="24"/>
              </w:rPr>
              <w:t>投标人</w:t>
            </w:r>
            <w:r>
              <w:rPr>
                <w:rFonts w:ascii="宋体" w:hAnsi="宋体" w:cs="宋体"/>
                <w:color w:val="auto"/>
                <w:sz w:val="24"/>
                <w:lang w:bidi="ar"/>
              </w:rPr>
              <w:t>提供</w:t>
            </w:r>
            <w:r>
              <w:rPr>
                <w:rFonts w:ascii="宋体" w:hAnsi="宋体" w:eastAsia="宋体" w:cs="宋体"/>
                <w:color w:val="auto"/>
                <w:sz w:val="24"/>
                <w:lang w:bidi="ar"/>
              </w:rPr>
              <w:t>2022年度或2023年度的资产负债表、利润表、现金流量表的财务报告复印件或其基本开户银行出具的资信证明</w:t>
            </w:r>
            <w:r>
              <w:rPr>
                <w:rFonts w:ascii="宋体" w:hAnsi="宋体" w:eastAsia="宋体" w:cs="宋体"/>
                <w:color w:val="auto"/>
                <w:sz w:val="24"/>
                <w:lang w:eastAsia="zh-CN" w:bidi="ar"/>
              </w:rPr>
              <w:t>。</w:t>
            </w:r>
          </w:p>
        </w:tc>
      </w:tr>
      <w:tr w14:paraId="58E502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20" w:hRule="atLeast"/>
        </w:trPr>
        <w:tc>
          <w:tcPr>
            <w:tcW w:w="604" w:type="dxa"/>
            <w:vAlign w:val="top"/>
          </w:tcPr>
          <w:p w14:paraId="3AB91294">
            <w:pPr>
              <w:pStyle w:val="25"/>
              <w:rPr>
                <w:rFonts w:hint="eastAsia" w:asciiTheme="minorEastAsia" w:hAnsiTheme="minorEastAsia" w:eastAsiaTheme="minorEastAsia" w:cstheme="minorEastAsia"/>
                <w:b/>
                <w:color w:val="auto"/>
                <w:sz w:val="24"/>
              </w:rPr>
            </w:pPr>
          </w:p>
          <w:p w14:paraId="0836FBD8">
            <w:pPr>
              <w:pStyle w:val="25"/>
              <w:rPr>
                <w:rFonts w:hint="eastAsia" w:asciiTheme="minorEastAsia" w:hAnsiTheme="minorEastAsia" w:eastAsiaTheme="minorEastAsia" w:cstheme="minorEastAsia"/>
                <w:b/>
                <w:color w:val="auto"/>
                <w:sz w:val="24"/>
              </w:rPr>
            </w:pPr>
          </w:p>
          <w:p w14:paraId="57E7EEB2">
            <w:pPr>
              <w:pStyle w:val="25"/>
              <w:rPr>
                <w:rFonts w:hint="eastAsia" w:asciiTheme="minorEastAsia" w:hAnsiTheme="minorEastAsia" w:eastAsiaTheme="minorEastAsia" w:cstheme="minorEastAsia"/>
                <w:b/>
                <w:color w:val="auto"/>
                <w:sz w:val="24"/>
              </w:rPr>
            </w:pPr>
          </w:p>
          <w:p w14:paraId="3E5678B5">
            <w:pPr>
              <w:pStyle w:val="25"/>
              <w:spacing w:before="5"/>
              <w:rPr>
                <w:rFonts w:hint="eastAsia" w:asciiTheme="minorEastAsia" w:hAnsiTheme="minorEastAsia" w:eastAsiaTheme="minorEastAsia" w:cstheme="minorEastAsia"/>
                <w:b/>
                <w:color w:val="auto"/>
                <w:sz w:val="18"/>
              </w:rPr>
            </w:pPr>
          </w:p>
          <w:p w14:paraId="5C915D44">
            <w:pPr>
              <w:pStyle w:val="25"/>
              <w:ind w:left="2"/>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w:t>
            </w:r>
          </w:p>
        </w:tc>
        <w:tc>
          <w:tcPr>
            <w:tcW w:w="1422" w:type="dxa"/>
            <w:vAlign w:val="top"/>
          </w:tcPr>
          <w:p w14:paraId="4CD4198A">
            <w:pPr>
              <w:pStyle w:val="25"/>
              <w:rPr>
                <w:rFonts w:hint="eastAsia" w:asciiTheme="minorEastAsia" w:hAnsiTheme="minorEastAsia" w:eastAsiaTheme="minorEastAsia" w:cstheme="minorEastAsia"/>
                <w:b/>
                <w:color w:val="auto"/>
                <w:sz w:val="24"/>
              </w:rPr>
            </w:pPr>
          </w:p>
          <w:p w14:paraId="5EC16A09">
            <w:pPr>
              <w:pStyle w:val="25"/>
              <w:rPr>
                <w:rFonts w:hint="eastAsia" w:asciiTheme="minorEastAsia" w:hAnsiTheme="minorEastAsia" w:eastAsiaTheme="minorEastAsia" w:cstheme="minorEastAsia"/>
                <w:b/>
                <w:color w:val="auto"/>
                <w:sz w:val="24"/>
              </w:rPr>
            </w:pPr>
          </w:p>
          <w:p w14:paraId="5D9FA837">
            <w:pPr>
              <w:pStyle w:val="25"/>
              <w:rPr>
                <w:rFonts w:hint="eastAsia" w:asciiTheme="minorEastAsia" w:hAnsiTheme="minorEastAsia" w:eastAsiaTheme="minorEastAsia" w:cstheme="minorEastAsia"/>
                <w:b/>
                <w:color w:val="auto"/>
                <w:sz w:val="25"/>
              </w:rPr>
            </w:pPr>
          </w:p>
          <w:p w14:paraId="553C4FBB">
            <w:pPr>
              <w:pStyle w:val="25"/>
              <w:spacing w:line="328" w:lineRule="auto"/>
              <w:ind w:left="111" w:right="103"/>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依法缴纳税收证明材料</w:t>
            </w:r>
          </w:p>
        </w:tc>
        <w:tc>
          <w:tcPr>
            <w:tcW w:w="7209" w:type="dxa"/>
            <w:vAlign w:val="top"/>
          </w:tcPr>
          <w:p w14:paraId="07628811">
            <w:pPr>
              <w:pStyle w:val="25"/>
              <w:spacing w:line="420" w:lineRule="exact"/>
              <w:ind w:left="107" w:right="1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 xml:space="preserve">①投标人提供的税收缴纳凭据复印件应符合下列规定： </w:t>
            </w:r>
            <w:r>
              <w:rPr>
                <w:rFonts w:hint="eastAsia" w:asciiTheme="minorEastAsia" w:hAnsiTheme="minorEastAsia" w:eastAsiaTheme="minorEastAsia" w:cstheme="minorEastAsia"/>
                <w:color w:val="auto"/>
                <w:sz w:val="24"/>
              </w:rPr>
              <w:t>a.</w:t>
            </w:r>
            <w:r>
              <w:rPr>
                <w:rFonts w:hint="eastAsia" w:asciiTheme="minorEastAsia" w:hAnsiTheme="minorEastAsia" w:eastAsiaTheme="minorEastAsia" w:cstheme="minorEastAsia"/>
                <w:color w:val="auto"/>
                <w:spacing w:val="-4"/>
                <w:sz w:val="24"/>
              </w:rPr>
              <w:t>投标截止</w:t>
            </w:r>
            <w:r>
              <w:rPr>
                <w:rFonts w:hint="eastAsia" w:asciiTheme="minorEastAsia" w:hAnsiTheme="minorEastAsia" w:eastAsiaTheme="minorEastAsia" w:cstheme="minorEastAsia"/>
                <w:color w:val="auto"/>
                <w:sz w:val="24"/>
              </w:rPr>
              <w:t>时间前（不含投标截止时间的当月）</w:t>
            </w:r>
            <w:r>
              <w:rPr>
                <w:rFonts w:hint="eastAsia" w:asciiTheme="minorEastAsia" w:hAnsiTheme="minorEastAsia" w:eastAsiaTheme="minorEastAsia" w:cstheme="minorEastAsia"/>
                <w:color w:val="auto"/>
                <w:spacing w:val="-1"/>
                <w:sz w:val="24"/>
              </w:rPr>
              <w:t>已依法缴纳税收的投标人，提</w:t>
            </w:r>
            <w:r>
              <w:rPr>
                <w:rFonts w:hint="eastAsia" w:asciiTheme="minorEastAsia" w:hAnsiTheme="minorEastAsia" w:eastAsiaTheme="minorEastAsia" w:cstheme="minorEastAsia"/>
                <w:color w:val="auto"/>
                <w:sz w:val="24"/>
              </w:rPr>
              <w:t>供投标截止时间前六个月（不含投标截止时间的当月）</w:t>
            </w:r>
            <w:r>
              <w:rPr>
                <w:rFonts w:hint="eastAsia" w:asciiTheme="minorEastAsia" w:hAnsiTheme="minorEastAsia" w:eastAsiaTheme="minorEastAsia" w:cstheme="minorEastAsia"/>
                <w:color w:val="auto"/>
                <w:spacing w:val="-3"/>
                <w:sz w:val="24"/>
              </w:rPr>
              <w:t>中任一月份</w:t>
            </w:r>
            <w:r>
              <w:rPr>
                <w:rFonts w:hint="eastAsia" w:asciiTheme="minorEastAsia" w:hAnsiTheme="minorEastAsia" w:eastAsiaTheme="minorEastAsia" w:cstheme="minorEastAsia"/>
                <w:color w:val="auto"/>
                <w:spacing w:val="-2"/>
                <w:sz w:val="24"/>
              </w:rPr>
              <w:t xml:space="preserve">的税收缴纳凭据复印件。 </w:t>
            </w:r>
            <w:r>
              <w:rPr>
                <w:rFonts w:hint="eastAsia" w:asciiTheme="minorEastAsia" w:hAnsiTheme="minorEastAsia" w:eastAsiaTheme="minorEastAsia" w:cstheme="minorEastAsia"/>
                <w:color w:val="auto"/>
                <w:sz w:val="24"/>
              </w:rPr>
              <w:t>b.</w:t>
            </w:r>
            <w:r>
              <w:rPr>
                <w:rFonts w:hint="eastAsia" w:asciiTheme="minorEastAsia" w:hAnsiTheme="minorEastAsia" w:eastAsiaTheme="minorEastAsia" w:cstheme="minorEastAsia"/>
                <w:color w:val="auto"/>
                <w:spacing w:val="-3"/>
                <w:sz w:val="24"/>
              </w:rPr>
              <w:t>投标截止时间的当月成立的投标人，视</w:t>
            </w:r>
            <w:r>
              <w:rPr>
                <w:rFonts w:hint="eastAsia" w:asciiTheme="minorEastAsia" w:hAnsiTheme="minorEastAsia" w:eastAsiaTheme="minorEastAsia" w:cstheme="minorEastAsia"/>
                <w:color w:val="auto"/>
                <w:spacing w:val="-1"/>
                <w:sz w:val="24"/>
              </w:rPr>
              <w:t xml:space="preserve">同满足本项资格条件要求。 </w:t>
            </w:r>
            <w:r>
              <w:rPr>
                <w:rFonts w:hint="eastAsia" w:asciiTheme="minorEastAsia" w:hAnsiTheme="minorEastAsia" w:eastAsiaTheme="minorEastAsia" w:cstheme="minorEastAsia"/>
                <w:color w:val="auto"/>
                <w:sz w:val="24"/>
              </w:rPr>
              <w:t>c.</w:t>
            </w:r>
            <w:r>
              <w:rPr>
                <w:rFonts w:hint="eastAsia" w:asciiTheme="minorEastAsia" w:hAnsiTheme="minorEastAsia" w:eastAsiaTheme="minorEastAsia" w:cstheme="minorEastAsia"/>
                <w:color w:val="auto"/>
                <w:spacing w:val="-2"/>
                <w:sz w:val="24"/>
              </w:rPr>
              <w:t>若为依法免税范围的投标人，提供依</w:t>
            </w:r>
            <w:r>
              <w:rPr>
                <w:rFonts w:hint="eastAsia" w:asciiTheme="minorEastAsia" w:hAnsiTheme="minorEastAsia" w:eastAsiaTheme="minorEastAsia" w:cstheme="minorEastAsia"/>
                <w:color w:val="auto"/>
                <w:sz w:val="24"/>
              </w:rPr>
              <w:t>法免税证明材料的，视同满足本项资格条件要求。</w:t>
            </w:r>
          </w:p>
        </w:tc>
      </w:tr>
      <w:tr w14:paraId="43F74E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7" w:hRule="atLeast"/>
        </w:trPr>
        <w:tc>
          <w:tcPr>
            <w:tcW w:w="604" w:type="dxa"/>
            <w:vAlign w:val="top"/>
          </w:tcPr>
          <w:p w14:paraId="75016F8E">
            <w:pPr>
              <w:pStyle w:val="25"/>
              <w:rPr>
                <w:rFonts w:hint="eastAsia" w:asciiTheme="minorEastAsia" w:hAnsiTheme="minorEastAsia" w:eastAsiaTheme="minorEastAsia" w:cstheme="minorEastAsia"/>
                <w:b/>
                <w:color w:val="auto"/>
                <w:sz w:val="24"/>
              </w:rPr>
            </w:pPr>
          </w:p>
          <w:p w14:paraId="067488F9">
            <w:pPr>
              <w:pStyle w:val="25"/>
              <w:spacing w:before="8"/>
              <w:rPr>
                <w:rFonts w:hint="eastAsia" w:asciiTheme="minorEastAsia" w:hAnsiTheme="minorEastAsia" w:eastAsiaTheme="minorEastAsia" w:cstheme="minorEastAsia"/>
                <w:b/>
                <w:color w:val="auto"/>
                <w:sz w:val="33"/>
              </w:rPr>
            </w:pPr>
          </w:p>
          <w:p w14:paraId="2C7CC622">
            <w:pPr>
              <w:pStyle w:val="25"/>
              <w:ind w:left="2"/>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5</w:t>
            </w:r>
          </w:p>
        </w:tc>
        <w:tc>
          <w:tcPr>
            <w:tcW w:w="1422" w:type="dxa"/>
            <w:vAlign w:val="top"/>
          </w:tcPr>
          <w:p w14:paraId="7B804AC9">
            <w:pPr>
              <w:pStyle w:val="25"/>
              <w:spacing w:before="12"/>
              <w:rPr>
                <w:rFonts w:hint="eastAsia" w:asciiTheme="minorEastAsia" w:hAnsiTheme="minorEastAsia" w:eastAsiaTheme="minorEastAsia" w:cstheme="minorEastAsia"/>
                <w:b/>
                <w:color w:val="auto"/>
                <w:sz w:val="23"/>
              </w:rPr>
            </w:pPr>
          </w:p>
          <w:p w14:paraId="769E045F">
            <w:pPr>
              <w:pStyle w:val="25"/>
              <w:spacing w:line="328" w:lineRule="auto"/>
              <w:ind w:left="111" w:right="103"/>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依法缴纳社会保障资金证明材料</w:t>
            </w:r>
          </w:p>
        </w:tc>
        <w:tc>
          <w:tcPr>
            <w:tcW w:w="7209" w:type="dxa"/>
            <w:vAlign w:val="top"/>
          </w:tcPr>
          <w:p w14:paraId="6F429A75">
            <w:pPr>
              <w:pStyle w:val="25"/>
              <w:spacing w:line="420" w:lineRule="exact"/>
              <w:ind w:left="107" w:right="1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 xml:space="preserve">①投标人提供的社会保障资金缴纳凭据复印件应符合下列规定： </w:t>
            </w:r>
            <w:r>
              <w:rPr>
                <w:rFonts w:hint="eastAsia" w:asciiTheme="minorEastAsia" w:hAnsiTheme="minorEastAsia" w:eastAsiaTheme="minorEastAsia" w:cstheme="minorEastAsia"/>
                <w:color w:val="auto"/>
                <w:spacing w:val="-9"/>
                <w:sz w:val="24"/>
              </w:rPr>
              <w:t xml:space="preserve">a. </w:t>
            </w:r>
            <w:r>
              <w:rPr>
                <w:rFonts w:hint="eastAsia" w:asciiTheme="minorEastAsia" w:hAnsiTheme="minorEastAsia" w:eastAsiaTheme="minorEastAsia" w:cstheme="minorEastAsia"/>
                <w:color w:val="auto"/>
                <w:sz w:val="24"/>
              </w:rPr>
              <w:t>投标截止时间前（不含投标截止时间的当月）</w:t>
            </w:r>
            <w:r>
              <w:rPr>
                <w:rFonts w:hint="eastAsia" w:asciiTheme="minorEastAsia" w:hAnsiTheme="minorEastAsia" w:eastAsiaTheme="minorEastAsia" w:cstheme="minorEastAsia"/>
                <w:color w:val="auto"/>
                <w:spacing w:val="-2"/>
                <w:sz w:val="24"/>
              </w:rPr>
              <w:t>已依法缴纳社会保障</w:t>
            </w:r>
            <w:r>
              <w:rPr>
                <w:rFonts w:hint="eastAsia" w:asciiTheme="minorEastAsia" w:hAnsiTheme="minorEastAsia" w:eastAsiaTheme="minorEastAsia" w:cstheme="minorEastAsia"/>
                <w:color w:val="auto"/>
                <w:sz w:val="24"/>
              </w:rPr>
              <w:t>资金的投标人，提供投标截止时间前六个月（</w:t>
            </w:r>
            <w:r>
              <w:rPr>
                <w:rFonts w:hint="eastAsia" w:asciiTheme="minorEastAsia" w:hAnsiTheme="minorEastAsia" w:eastAsiaTheme="minorEastAsia" w:cstheme="minorEastAsia"/>
                <w:color w:val="auto"/>
                <w:spacing w:val="-2"/>
                <w:sz w:val="24"/>
              </w:rPr>
              <w:t>不含投标截止时间的</w:t>
            </w:r>
            <w:r>
              <w:rPr>
                <w:rFonts w:hint="eastAsia" w:asciiTheme="minorEastAsia" w:hAnsiTheme="minorEastAsia" w:eastAsiaTheme="minorEastAsia" w:cstheme="minorEastAsia"/>
                <w:color w:val="auto"/>
                <w:sz w:val="24"/>
              </w:rPr>
              <w:t>当月</w:t>
            </w:r>
            <w:r>
              <w:rPr>
                <w:rFonts w:hint="eastAsia" w:asciiTheme="minorEastAsia" w:hAnsiTheme="minorEastAsia" w:eastAsiaTheme="minorEastAsia" w:cstheme="minorEastAsia"/>
                <w:color w:val="auto"/>
                <w:spacing w:val="-17"/>
                <w:sz w:val="24"/>
              </w:rPr>
              <w:t>）</w:t>
            </w:r>
            <w:r>
              <w:rPr>
                <w:rFonts w:hint="eastAsia" w:asciiTheme="minorEastAsia" w:hAnsiTheme="minorEastAsia" w:eastAsiaTheme="minorEastAsia" w:cstheme="minorEastAsia"/>
                <w:color w:val="auto"/>
                <w:spacing w:val="-1"/>
                <w:sz w:val="24"/>
              </w:rPr>
              <w:t xml:space="preserve">中任一月份的社会保障资金缴纳凭据复印件。 </w:t>
            </w:r>
            <w:r>
              <w:rPr>
                <w:rFonts w:hint="eastAsia" w:asciiTheme="minorEastAsia" w:hAnsiTheme="minorEastAsia" w:eastAsiaTheme="minorEastAsia" w:cstheme="minorEastAsia"/>
                <w:color w:val="auto"/>
                <w:sz w:val="24"/>
              </w:rPr>
              <w:t>b.</w:t>
            </w:r>
            <w:r>
              <w:rPr>
                <w:rFonts w:hint="eastAsia" w:asciiTheme="minorEastAsia" w:hAnsiTheme="minorEastAsia" w:eastAsiaTheme="minorEastAsia" w:cstheme="minorEastAsia"/>
                <w:color w:val="auto"/>
                <w:spacing w:val="-4"/>
                <w:sz w:val="24"/>
              </w:rPr>
              <w:t>投标截止时</w:t>
            </w:r>
            <w:r>
              <w:rPr>
                <w:rFonts w:hint="eastAsia" w:asciiTheme="minorEastAsia" w:hAnsiTheme="minorEastAsia" w:eastAsiaTheme="minorEastAsia" w:cstheme="minorEastAsia"/>
                <w:color w:val="auto"/>
                <w:spacing w:val="-2"/>
                <w:sz w:val="24"/>
              </w:rPr>
              <w:t xml:space="preserve">间的当月成立的投标人，视同满足本项资格条件要求。 </w:t>
            </w:r>
            <w:r>
              <w:rPr>
                <w:rFonts w:hint="eastAsia" w:asciiTheme="minorEastAsia" w:hAnsiTheme="minorEastAsia" w:eastAsiaTheme="minorEastAsia" w:cstheme="minorEastAsia"/>
                <w:color w:val="auto"/>
                <w:sz w:val="24"/>
              </w:rPr>
              <w:t>c.</w:t>
            </w:r>
            <w:r>
              <w:rPr>
                <w:rFonts w:hint="eastAsia" w:asciiTheme="minorEastAsia" w:hAnsiTheme="minorEastAsia" w:eastAsiaTheme="minorEastAsia" w:cstheme="minorEastAsia"/>
                <w:color w:val="auto"/>
                <w:spacing w:val="-4"/>
                <w:sz w:val="24"/>
              </w:rPr>
              <w:t>若为依法</w:t>
            </w:r>
            <w:r>
              <w:rPr>
                <w:rFonts w:hint="eastAsia" w:asciiTheme="minorEastAsia" w:hAnsiTheme="minorEastAsia" w:eastAsiaTheme="minorEastAsia" w:cstheme="minorEastAsia"/>
                <w:color w:val="auto"/>
                <w:spacing w:val="-1"/>
                <w:sz w:val="24"/>
              </w:rPr>
              <w:t>不需要缴纳或暂缓缴纳社会保障资金的投标人，提供依法不需要缴纳或暂缓缴纳社会保障资金证明材料的，视同满足本项资格条件要</w:t>
            </w:r>
            <w:r>
              <w:rPr>
                <w:rFonts w:hint="eastAsia" w:asciiTheme="minorEastAsia" w:hAnsiTheme="minorEastAsia" w:eastAsiaTheme="minorEastAsia" w:cstheme="minorEastAsia"/>
                <w:color w:val="auto"/>
                <w:sz w:val="24"/>
              </w:rPr>
              <w:t>求。</w:t>
            </w:r>
          </w:p>
        </w:tc>
      </w:tr>
      <w:tr w14:paraId="202975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7" w:hRule="atLeast"/>
        </w:trPr>
        <w:tc>
          <w:tcPr>
            <w:tcW w:w="604" w:type="dxa"/>
            <w:vAlign w:val="center"/>
          </w:tcPr>
          <w:p w14:paraId="7BB9B627">
            <w:pPr>
              <w:pStyle w:val="25"/>
              <w:spacing w:before="65"/>
              <w:ind w:left="2" w:leftChars="0" w:right="0" w:right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6</w:t>
            </w:r>
          </w:p>
        </w:tc>
        <w:tc>
          <w:tcPr>
            <w:tcW w:w="1422" w:type="dxa"/>
            <w:vAlign w:val="center"/>
          </w:tcPr>
          <w:p w14:paraId="179812F7">
            <w:pPr>
              <w:pStyle w:val="25"/>
              <w:spacing w:before="95"/>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具备履行合</w:t>
            </w:r>
          </w:p>
          <w:p w14:paraId="372822D5">
            <w:pPr>
              <w:pStyle w:val="25"/>
              <w:spacing w:before="53"/>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同所必需设</w:t>
            </w:r>
          </w:p>
          <w:p w14:paraId="69F38E65">
            <w:pPr>
              <w:pStyle w:val="25"/>
              <w:spacing w:before="53"/>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备和专业技</w:t>
            </w:r>
          </w:p>
          <w:p w14:paraId="13167DCB">
            <w:pPr>
              <w:pStyle w:val="25"/>
              <w:spacing w:before="40"/>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术能力的声</w:t>
            </w:r>
          </w:p>
          <w:p w14:paraId="6DC879F0">
            <w:pPr>
              <w:pStyle w:val="25"/>
              <w:spacing w:before="53" w:line="303" w:lineRule="exact"/>
              <w:ind w:left="156" w:leftChars="0" w:right="0" w:right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明函(若有)</w:t>
            </w:r>
          </w:p>
        </w:tc>
        <w:tc>
          <w:tcPr>
            <w:tcW w:w="7209" w:type="dxa"/>
            <w:vAlign w:val="top"/>
          </w:tcPr>
          <w:p w14:paraId="1A2C3D80">
            <w:pPr>
              <w:pStyle w:val="25"/>
              <w:spacing w:line="328" w:lineRule="auto"/>
              <w:ind w:left="107" w:leftChars="0" w:right="100" w:rightChars="0"/>
              <w:jc w:val="both"/>
              <w:rPr>
                <w:rFonts w:hint="eastAsia" w:asciiTheme="minorEastAsia" w:hAnsiTheme="minorEastAsia" w:eastAsiaTheme="minorEastAsia" w:cstheme="minorEastAsia"/>
                <w:color w:val="auto"/>
                <w:spacing w:val="-1"/>
                <w:sz w:val="24"/>
              </w:rPr>
            </w:pPr>
            <w:r>
              <w:rPr>
                <w:rFonts w:hint="eastAsia" w:asciiTheme="minorEastAsia" w:hAnsiTheme="minorEastAsia" w:eastAsiaTheme="minorEastAsia" w:cstheme="minorEastAsia"/>
                <w:color w:val="auto"/>
                <w:sz w:val="24"/>
              </w:rPr>
              <w:t>①招标文件未要求投标人提供“具备履行合同所必需的设备和专业</w:t>
            </w:r>
            <w:r>
              <w:rPr>
                <w:rFonts w:hint="eastAsia" w:asciiTheme="minorEastAsia" w:hAnsiTheme="minorEastAsia" w:eastAsiaTheme="minorEastAsia" w:cstheme="minorEastAsia"/>
                <w:color w:val="auto"/>
                <w:spacing w:val="-7"/>
                <w:sz w:val="24"/>
              </w:rPr>
              <w:t>技术能力专项证明材料”的，投标人应提供本声明函。 ②招标文件</w:t>
            </w:r>
            <w:r>
              <w:rPr>
                <w:rFonts w:hint="eastAsia" w:asciiTheme="minorEastAsia" w:hAnsiTheme="minorEastAsia" w:eastAsiaTheme="minorEastAsia" w:cstheme="minorEastAsia"/>
                <w:color w:val="auto"/>
                <w:sz w:val="24"/>
              </w:rPr>
              <w:t>要求投标人提供“具备履行合同所必需的设备和专业技术能力专项证明材料”的，投标人可不提供本声明函。</w:t>
            </w:r>
          </w:p>
        </w:tc>
      </w:tr>
      <w:tr w14:paraId="27766C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7" w:hRule="atLeast"/>
        </w:trPr>
        <w:tc>
          <w:tcPr>
            <w:tcW w:w="604" w:type="dxa"/>
            <w:vAlign w:val="center"/>
          </w:tcPr>
          <w:p w14:paraId="616C68B5">
            <w:pPr>
              <w:pStyle w:val="25"/>
              <w:spacing w:line="241" w:lineRule="exact"/>
              <w:ind w:left="2" w:leftChars="0" w:right="0" w:right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7</w:t>
            </w:r>
          </w:p>
        </w:tc>
        <w:tc>
          <w:tcPr>
            <w:tcW w:w="1422" w:type="dxa"/>
            <w:vAlign w:val="center"/>
          </w:tcPr>
          <w:p w14:paraId="3ABCF6D4">
            <w:pPr>
              <w:pStyle w:val="25"/>
              <w:spacing w:before="96"/>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参加采购活</w:t>
            </w:r>
          </w:p>
          <w:p w14:paraId="6F3D130E">
            <w:pPr>
              <w:pStyle w:val="25"/>
              <w:spacing w:before="53"/>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动前三年内</w:t>
            </w:r>
          </w:p>
          <w:p w14:paraId="0A475682">
            <w:pPr>
              <w:pStyle w:val="25"/>
              <w:spacing w:before="53" w:line="250" w:lineRule="exact"/>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在经营活动</w:t>
            </w:r>
          </w:p>
          <w:p w14:paraId="196E4E42">
            <w:pPr>
              <w:pStyle w:val="25"/>
              <w:spacing w:before="145"/>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中没有重大</w:t>
            </w:r>
          </w:p>
          <w:p w14:paraId="20695332">
            <w:pPr>
              <w:pStyle w:val="25"/>
              <w:spacing w:before="53"/>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违法记录的</w:t>
            </w:r>
          </w:p>
          <w:p w14:paraId="52E91E7B">
            <w:pPr>
              <w:pStyle w:val="25"/>
              <w:spacing w:before="53" w:line="304" w:lineRule="exact"/>
              <w:ind w:left="471" w:leftChars="0" w:right="0" w:right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声明</w:t>
            </w:r>
          </w:p>
        </w:tc>
        <w:tc>
          <w:tcPr>
            <w:tcW w:w="7209" w:type="dxa"/>
            <w:vAlign w:val="top"/>
          </w:tcPr>
          <w:p w14:paraId="3D45743D">
            <w:pPr>
              <w:pStyle w:val="25"/>
              <w:rPr>
                <w:rFonts w:hint="eastAsia" w:asciiTheme="minorEastAsia" w:hAnsiTheme="minorEastAsia" w:eastAsiaTheme="minorEastAsia" w:cstheme="minorEastAsia"/>
                <w:b/>
                <w:color w:val="auto"/>
                <w:sz w:val="24"/>
              </w:rPr>
            </w:pPr>
          </w:p>
          <w:p w14:paraId="65637EFA">
            <w:pPr>
              <w:pStyle w:val="25"/>
              <w:spacing w:line="328" w:lineRule="auto"/>
              <w:ind w:left="107" w:right="-2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①重大违法记录：指投标人因违法经营受到刑事处罚或责令停产停</w:t>
            </w:r>
            <w:r>
              <w:rPr>
                <w:rFonts w:hint="eastAsia" w:asciiTheme="minorEastAsia" w:hAnsiTheme="minorEastAsia" w:eastAsiaTheme="minorEastAsia" w:cstheme="minorEastAsia"/>
                <w:color w:val="auto"/>
                <w:spacing w:val="-21"/>
                <w:sz w:val="24"/>
              </w:rPr>
              <w:t>业、吊销许可证或执照、较大数额罚款等行政处罚。根据财库〔</w:t>
            </w:r>
            <w:r>
              <w:rPr>
                <w:rFonts w:hint="eastAsia" w:asciiTheme="minorEastAsia" w:hAnsiTheme="minorEastAsia" w:eastAsiaTheme="minorEastAsia" w:cstheme="minorEastAsia"/>
                <w:color w:val="auto"/>
                <w:sz w:val="24"/>
              </w:rPr>
              <w:t>2022〕</w:t>
            </w:r>
          </w:p>
          <w:p w14:paraId="5E25C76E">
            <w:pPr>
              <w:pStyle w:val="25"/>
              <w:spacing w:line="328" w:lineRule="auto"/>
              <w:ind w:left="107" w:leftChars="0" w:right="134" w:rightChars="0"/>
              <w:jc w:val="both"/>
              <w:rPr>
                <w:rFonts w:hint="eastAsia" w:asciiTheme="minorEastAsia" w:hAnsiTheme="minorEastAsia" w:eastAsiaTheme="minorEastAsia" w:cstheme="minorEastAsia"/>
                <w:color w:val="auto"/>
                <w:spacing w:val="-1"/>
                <w:sz w:val="24"/>
              </w:rPr>
            </w:pPr>
            <w:r>
              <w:rPr>
                <w:rFonts w:hint="eastAsia" w:asciiTheme="minorEastAsia" w:hAnsiTheme="minorEastAsia" w:eastAsiaTheme="minorEastAsia" w:cstheme="minorEastAsia"/>
                <w:color w:val="auto"/>
                <w:sz w:val="24"/>
              </w:rPr>
              <w:t>3 号文件的规定，“较大数额罚款”认定为 200 万元以上的罚款， 法律、行政法规以及国务院有关部门明确规定相关领域“较大数额罚款”标准高于 200 万元的，从其规定。</w:t>
            </w:r>
          </w:p>
        </w:tc>
      </w:tr>
      <w:tr w14:paraId="5548F3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604" w:type="dxa"/>
            <w:vAlign w:val="center"/>
          </w:tcPr>
          <w:p w14:paraId="5A17290A">
            <w:pPr>
              <w:pStyle w:val="25"/>
              <w:spacing w:line="243" w:lineRule="exact"/>
              <w:ind w:left="2" w:leftChars="0" w:right="0" w:right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8</w:t>
            </w:r>
          </w:p>
        </w:tc>
        <w:tc>
          <w:tcPr>
            <w:tcW w:w="1422" w:type="dxa"/>
            <w:vAlign w:val="center"/>
          </w:tcPr>
          <w:p w14:paraId="366110C1">
            <w:pPr>
              <w:pStyle w:val="25"/>
              <w:spacing w:before="43" w:line="252" w:lineRule="exact"/>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信用记录查</w:t>
            </w:r>
          </w:p>
          <w:p w14:paraId="2F909A19">
            <w:pPr>
              <w:pStyle w:val="25"/>
              <w:spacing w:before="147"/>
              <w:ind w:left="351" w:leftChars="0" w:right="0" w:right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询结果</w:t>
            </w:r>
          </w:p>
        </w:tc>
        <w:tc>
          <w:tcPr>
            <w:tcW w:w="7209" w:type="dxa"/>
            <w:vAlign w:val="top"/>
          </w:tcPr>
          <w:p w14:paraId="60346675">
            <w:pPr>
              <w:pStyle w:val="25"/>
              <w:spacing w:line="328" w:lineRule="auto"/>
              <w:ind w:left="107" w:right="100"/>
              <w:jc w:val="both"/>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pacing w:val="-7"/>
                <w:sz w:val="24"/>
              </w:rPr>
              <w:t>①信用记录查询的截止时点：信用记录查询的截止时点为本项目投</w:t>
            </w:r>
          </w:p>
          <w:p w14:paraId="6D3BA5D5">
            <w:pPr>
              <w:pStyle w:val="25"/>
              <w:spacing w:line="328" w:lineRule="auto"/>
              <w:ind w:left="107" w:right="100"/>
              <w:jc w:val="both"/>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pacing w:val="-7"/>
                <w:sz w:val="24"/>
              </w:rPr>
              <w:t>标截止当日。 ②信用记录查询渠道：信用中国</w:t>
            </w:r>
          </w:p>
          <w:p w14:paraId="656EBD2C">
            <w:pPr>
              <w:pStyle w:val="25"/>
              <w:spacing w:line="328" w:lineRule="auto"/>
              <w:ind w:left="107" w:right="100"/>
              <w:jc w:val="both"/>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pacing w:val="-7"/>
                <w:sz w:val="24"/>
              </w:rPr>
              <w:t>（</w:t>
            </w:r>
            <w:r>
              <w:rPr>
                <w:rFonts w:hint="eastAsia" w:asciiTheme="minorEastAsia" w:hAnsiTheme="minorEastAsia" w:eastAsiaTheme="minorEastAsia" w:cstheme="minorEastAsia"/>
                <w:color w:val="auto"/>
                <w:spacing w:val="-7"/>
                <w:sz w:val="24"/>
              </w:rPr>
              <w:fldChar w:fldCharType="begin"/>
            </w:r>
            <w:r>
              <w:rPr>
                <w:rFonts w:hint="eastAsia" w:asciiTheme="minorEastAsia" w:hAnsiTheme="minorEastAsia" w:eastAsiaTheme="minorEastAsia" w:cstheme="minorEastAsia"/>
                <w:color w:val="auto"/>
                <w:spacing w:val="-7"/>
                <w:sz w:val="24"/>
              </w:rPr>
              <w:instrText xml:space="preserve"> HYPERLINK "http://www.creditchina.gov.cn/" \h </w:instrText>
            </w:r>
            <w:r>
              <w:rPr>
                <w:rFonts w:hint="eastAsia" w:asciiTheme="minorEastAsia" w:hAnsiTheme="minorEastAsia" w:eastAsiaTheme="minorEastAsia" w:cstheme="minorEastAsia"/>
                <w:color w:val="auto"/>
                <w:spacing w:val="-7"/>
                <w:sz w:val="24"/>
              </w:rPr>
              <w:fldChar w:fldCharType="separate"/>
            </w:r>
            <w:r>
              <w:rPr>
                <w:rFonts w:hint="eastAsia" w:asciiTheme="minorEastAsia" w:hAnsiTheme="minorEastAsia" w:eastAsiaTheme="minorEastAsia" w:cstheme="minorEastAsia"/>
                <w:color w:val="auto"/>
                <w:spacing w:val="-7"/>
                <w:sz w:val="24"/>
              </w:rPr>
              <w:t>www.creditchina.gov.cn</w:t>
            </w:r>
            <w:r>
              <w:rPr>
                <w:rFonts w:hint="eastAsia" w:asciiTheme="minorEastAsia" w:hAnsiTheme="minorEastAsia" w:eastAsiaTheme="minorEastAsia" w:cstheme="minorEastAsia"/>
                <w:color w:val="auto"/>
                <w:spacing w:val="-7"/>
                <w:sz w:val="24"/>
              </w:rPr>
              <w:fldChar w:fldCharType="end"/>
            </w:r>
            <w:r>
              <w:rPr>
                <w:rFonts w:hint="eastAsia" w:asciiTheme="minorEastAsia" w:hAnsiTheme="minorEastAsia" w:eastAsiaTheme="minorEastAsia" w:cstheme="minorEastAsia"/>
                <w:color w:val="auto"/>
                <w:spacing w:val="-7"/>
                <w:sz w:val="24"/>
              </w:rPr>
              <w:t>）、中国政府采购网（</w:t>
            </w:r>
            <w:r>
              <w:rPr>
                <w:rFonts w:hint="eastAsia" w:asciiTheme="minorEastAsia" w:hAnsiTheme="minorEastAsia" w:eastAsiaTheme="minorEastAsia" w:cstheme="minorEastAsia"/>
                <w:color w:val="auto"/>
                <w:spacing w:val="-7"/>
                <w:sz w:val="24"/>
              </w:rPr>
              <w:fldChar w:fldCharType="begin"/>
            </w:r>
            <w:r>
              <w:rPr>
                <w:rFonts w:hint="eastAsia" w:asciiTheme="minorEastAsia" w:hAnsiTheme="minorEastAsia" w:eastAsiaTheme="minorEastAsia" w:cstheme="minorEastAsia"/>
                <w:color w:val="auto"/>
                <w:spacing w:val="-7"/>
                <w:sz w:val="24"/>
              </w:rPr>
              <w:instrText xml:space="preserve"> HYPERLINK "http://www.ccgp.gov.cn/" \h </w:instrText>
            </w:r>
            <w:r>
              <w:rPr>
                <w:rFonts w:hint="eastAsia" w:asciiTheme="minorEastAsia" w:hAnsiTheme="minorEastAsia" w:eastAsiaTheme="minorEastAsia" w:cstheme="minorEastAsia"/>
                <w:color w:val="auto"/>
                <w:spacing w:val="-7"/>
                <w:sz w:val="24"/>
              </w:rPr>
              <w:fldChar w:fldCharType="separate"/>
            </w:r>
            <w:r>
              <w:rPr>
                <w:rFonts w:hint="eastAsia" w:asciiTheme="minorEastAsia" w:hAnsiTheme="minorEastAsia" w:eastAsiaTheme="minorEastAsia" w:cstheme="minorEastAsia"/>
                <w:color w:val="auto"/>
                <w:spacing w:val="-7"/>
                <w:sz w:val="24"/>
              </w:rPr>
              <w:t>www.ccgp.gov.cn</w:t>
            </w:r>
            <w:r>
              <w:rPr>
                <w:rFonts w:hint="eastAsia" w:asciiTheme="minorEastAsia" w:hAnsiTheme="minorEastAsia" w:eastAsiaTheme="minorEastAsia" w:cstheme="minorEastAsia"/>
                <w:color w:val="auto"/>
                <w:spacing w:val="-7"/>
                <w:sz w:val="24"/>
              </w:rPr>
              <w:fldChar w:fldCharType="end"/>
            </w:r>
            <w:r>
              <w:rPr>
                <w:rFonts w:hint="eastAsia" w:asciiTheme="minorEastAsia" w:hAnsiTheme="minorEastAsia" w:eastAsiaTheme="minorEastAsia" w:cstheme="minorEastAsia"/>
                <w:color w:val="auto"/>
                <w:spacing w:val="-7"/>
                <w:sz w:val="24"/>
              </w:rPr>
              <w:t>）。</w:t>
            </w:r>
          </w:p>
          <w:p w14:paraId="790FC865">
            <w:pPr>
              <w:pStyle w:val="25"/>
              <w:spacing w:line="328" w:lineRule="auto"/>
              <w:ind w:left="107" w:right="100"/>
              <w:jc w:val="both"/>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pacing w:val="-7"/>
                <w:sz w:val="24"/>
              </w:rPr>
              <w:t>③信用记录的查询：由资格审查小组通过上述网站查询并打印投标</w:t>
            </w:r>
          </w:p>
          <w:p w14:paraId="06AC35EC">
            <w:pPr>
              <w:pStyle w:val="25"/>
              <w:spacing w:line="328" w:lineRule="auto"/>
              <w:ind w:left="107" w:right="100"/>
              <w:jc w:val="both"/>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pacing w:val="-7"/>
                <w:sz w:val="24"/>
              </w:rPr>
              <w:t>人的信用记录。 ④经查询，投标人参加本项目采购活动(投标截止</w:t>
            </w:r>
          </w:p>
          <w:p w14:paraId="3BA291D4">
            <w:pPr>
              <w:pStyle w:val="25"/>
              <w:spacing w:line="328" w:lineRule="auto"/>
              <w:ind w:left="107" w:right="100"/>
              <w:jc w:val="both"/>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pacing w:val="-7"/>
                <w:sz w:val="24"/>
              </w:rPr>
              <w:t>时间)前三年内被列入失信被执行人名单、重大税收违法案件当事人</w:t>
            </w:r>
          </w:p>
          <w:p w14:paraId="7AE21623">
            <w:pPr>
              <w:pStyle w:val="25"/>
              <w:spacing w:line="328" w:lineRule="auto"/>
              <w:ind w:left="107" w:right="100"/>
              <w:jc w:val="both"/>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pacing w:val="-7"/>
                <w:sz w:val="24"/>
              </w:rPr>
              <w:t>名单、政府采购严重违法失信行为记录名单及其他重大违法记录且</w:t>
            </w:r>
          </w:p>
          <w:p w14:paraId="3C831A76">
            <w:pPr>
              <w:pStyle w:val="25"/>
              <w:spacing w:line="328" w:lineRule="auto"/>
              <w:ind w:left="107" w:leftChars="0" w:right="100" w:rightChars="0"/>
              <w:jc w:val="both"/>
              <w:rPr>
                <w:rFonts w:hint="eastAsia" w:asciiTheme="minorEastAsia" w:hAnsiTheme="minorEastAsia" w:eastAsiaTheme="minorEastAsia" w:cstheme="minorEastAsia"/>
                <w:color w:val="auto"/>
                <w:spacing w:val="-1"/>
                <w:sz w:val="24"/>
              </w:rPr>
            </w:pPr>
            <w:r>
              <w:rPr>
                <w:rFonts w:hint="eastAsia" w:asciiTheme="minorEastAsia" w:hAnsiTheme="minorEastAsia" w:eastAsiaTheme="minorEastAsia" w:cstheme="minorEastAsia"/>
                <w:color w:val="auto"/>
                <w:spacing w:val="-7"/>
                <w:sz w:val="24"/>
              </w:rPr>
              <w:t>相关信用惩戒期限未满的，其资格审查不合格。</w:t>
            </w:r>
          </w:p>
        </w:tc>
      </w:tr>
      <w:tr w14:paraId="5170B9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7" w:hRule="atLeast"/>
        </w:trPr>
        <w:tc>
          <w:tcPr>
            <w:tcW w:w="604" w:type="dxa"/>
            <w:vAlign w:val="center"/>
          </w:tcPr>
          <w:p w14:paraId="18BD06DC">
            <w:pPr>
              <w:pStyle w:val="25"/>
              <w:spacing w:line="243" w:lineRule="exact"/>
              <w:ind w:left="2" w:leftChars="0" w:right="0" w:right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9</w:t>
            </w:r>
          </w:p>
        </w:tc>
        <w:tc>
          <w:tcPr>
            <w:tcW w:w="1422" w:type="dxa"/>
            <w:vAlign w:val="center"/>
          </w:tcPr>
          <w:p w14:paraId="1DD07271">
            <w:pPr>
              <w:pStyle w:val="25"/>
              <w:spacing w:before="56"/>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中小企业声</w:t>
            </w:r>
          </w:p>
          <w:p w14:paraId="14C5A284">
            <w:pPr>
              <w:pStyle w:val="25"/>
              <w:spacing w:before="43"/>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明函（以资</w:t>
            </w:r>
          </w:p>
          <w:p w14:paraId="48D3F4D2">
            <w:pPr>
              <w:pStyle w:val="25"/>
              <w:spacing w:before="43" w:line="252" w:lineRule="exact"/>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格条件落实</w:t>
            </w:r>
          </w:p>
          <w:p w14:paraId="0613FD32">
            <w:pPr>
              <w:pStyle w:val="25"/>
              <w:spacing w:before="147"/>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中小企业扶</w:t>
            </w:r>
          </w:p>
          <w:p w14:paraId="385BB66F">
            <w:pPr>
              <w:pStyle w:val="25"/>
              <w:spacing w:before="56"/>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持政策时适</w:t>
            </w:r>
          </w:p>
          <w:p w14:paraId="5354C840">
            <w:pPr>
              <w:pStyle w:val="25"/>
              <w:spacing w:before="56"/>
              <w:ind w:left="411" w:leftChars="0" w:right="0" w:right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用 ）</w:t>
            </w:r>
          </w:p>
        </w:tc>
        <w:tc>
          <w:tcPr>
            <w:tcW w:w="7209" w:type="dxa"/>
            <w:vAlign w:val="top"/>
          </w:tcPr>
          <w:p w14:paraId="44B29B5B">
            <w:pPr>
              <w:pStyle w:val="25"/>
              <w:spacing w:line="328" w:lineRule="auto"/>
              <w:ind w:left="107" w:right="100"/>
              <w:jc w:val="both"/>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pacing w:val="-7"/>
                <w:sz w:val="24"/>
              </w:rPr>
              <w:t>①投标人应认真对照工信部联企业[2011]300 号《工业和信息化部、</w:t>
            </w:r>
          </w:p>
          <w:p w14:paraId="1C46F86D">
            <w:pPr>
              <w:pStyle w:val="25"/>
              <w:spacing w:line="328" w:lineRule="auto"/>
              <w:ind w:left="0" w:leftChars="0" w:right="100" w:rightChars="0"/>
              <w:jc w:val="both"/>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pacing w:val="-7"/>
                <w:sz w:val="24"/>
              </w:rPr>
              <w:t>国家统计局、国家发展和改革委员会、财政部关于印发中小企业划型标准规定的通知》规定的划分标准，并按照国统字[2017]213 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14:paraId="195249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7" w:hRule="atLeast"/>
        </w:trPr>
        <w:tc>
          <w:tcPr>
            <w:tcW w:w="604" w:type="dxa"/>
            <w:vAlign w:val="top"/>
          </w:tcPr>
          <w:p w14:paraId="00A378BE">
            <w:pPr>
              <w:pStyle w:val="25"/>
              <w:rPr>
                <w:rFonts w:hint="eastAsia" w:asciiTheme="minorEastAsia" w:hAnsiTheme="minorEastAsia" w:eastAsiaTheme="minorEastAsia" w:cstheme="minorEastAsia"/>
                <w:b/>
                <w:color w:val="auto"/>
                <w:sz w:val="24"/>
              </w:rPr>
            </w:pPr>
          </w:p>
          <w:p w14:paraId="4E3439DB">
            <w:pPr>
              <w:pStyle w:val="25"/>
              <w:spacing w:before="1"/>
              <w:rPr>
                <w:rFonts w:hint="eastAsia" w:asciiTheme="minorEastAsia" w:hAnsiTheme="minorEastAsia" w:eastAsiaTheme="minorEastAsia" w:cstheme="minorEastAsia"/>
                <w:b/>
                <w:color w:val="auto"/>
                <w:sz w:val="17"/>
              </w:rPr>
            </w:pPr>
          </w:p>
          <w:p w14:paraId="7BC2659E">
            <w:pPr>
              <w:pStyle w:val="25"/>
              <w:spacing w:before="1"/>
              <w:ind w:left="179" w:leftChars="0" w:right="0" w:rightChars="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10</w:t>
            </w:r>
          </w:p>
        </w:tc>
        <w:tc>
          <w:tcPr>
            <w:tcW w:w="1422" w:type="dxa"/>
            <w:vAlign w:val="top"/>
          </w:tcPr>
          <w:p w14:paraId="236057DA">
            <w:pPr>
              <w:pStyle w:val="25"/>
              <w:spacing w:before="12"/>
              <w:rPr>
                <w:rFonts w:hint="eastAsia" w:asciiTheme="minorEastAsia" w:hAnsiTheme="minorEastAsia" w:eastAsiaTheme="minorEastAsia" w:cstheme="minorEastAsia"/>
                <w:b/>
                <w:color w:val="auto"/>
                <w:sz w:val="23"/>
              </w:rPr>
            </w:pPr>
          </w:p>
          <w:p w14:paraId="744B80F5">
            <w:pPr>
              <w:pStyle w:val="25"/>
              <w:ind w:left="91" w:right="86"/>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联合体协议</w:t>
            </w:r>
          </w:p>
          <w:p w14:paraId="57760D28">
            <w:pPr>
              <w:pStyle w:val="25"/>
              <w:spacing w:before="112"/>
              <w:ind w:left="108" w:leftChars="0" w:right="103" w:right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（若有）</w:t>
            </w:r>
          </w:p>
        </w:tc>
        <w:tc>
          <w:tcPr>
            <w:tcW w:w="7209" w:type="dxa"/>
            <w:vAlign w:val="top"/>
          </w:tcPr>
          <w:p w14:paraId="105E885E">
            <w:pPr>
              <w:pStyle w:val="25"/>
              <w:spacing w:before="95" w:line="328" w:lineRule="auto"/>
              <w:ind w:left="107" w:right="10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①招标文件接受联合体投标且投标人为联合体的，投标人应提供本</w:t>
            </w:r>
            <w:r>
              <w:rPr>
                <w:rFonts w:hint="eastAsia" w:asciiTheme="minorEastAsia" w:hAnsiTheme="minorEastAsia" w:eastAsiaTheme="minorEastAsia" w:cstheme="minorEastAsia"/>
                <w:color w:val="auto"/>
                <w:spacing w:val="-11"/>
                <w:sz w:val="24"/>
              </w:rPr>
              <w:t>协议；否则无须提供。 ②本协议由委托代理人签字或盖章的，应按</w:t>
            </w:r>
          </w:p>
          <w:p w14:paraId="3307B07E">
            <w:pPr>
              <w:pStyle w:val="25"/>
              <w:spacing w:line="301" w:lineRule="exact"/>
              <w:ind w:left="107" w:leftChars="0" w:right="0" w:rightChars="0"/>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z w:val="24"/>
              </w:rPr>
              <w:t>照招标文件第七章载明的格式提供“单位授权书”。</w:t>
            </w:r>
          </w:p>
        </w:tc>
      </w:tr>
    </w:tbl>
    <w:p w14:paraId="41D636D2">
      <w:pPr>
        <w:pStyle w:val="4"/>
        <w:spacing w:before="112" w:after="16"/>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采购包 </w:t>
      </w:r>
      <w:r>
        <w:rPr>
          <w:rFonts w:hint="eastAsia" w:asciiTheme="minorEastAsia" w:hAnsiTheme="minorEastAsia" w:eastAsiaTheme="minorEastAsia" w:cstheme="minorEastAsia"/>
          <w:color w:val="auto"/>
          <w:lang w:val="en-US" w:eastAsia="zh-CN"/>
        </w:rPr>
        <w:t>2</w:t>
      </w:r>
      <w:r>
        <w:rPr>
          <w:rFonts w:hint="eastAsia" w:asciiTheme="minorEastAsia" w:hAnsiTheme="minorEastAsia" w:eastAsiaTheme="minorEastAsia" w:cstheme="minorEastAsia"/>
          <w:color w:val="auto"/>
        </w:rPr>
        <w:t>：</w:t>
      </w:r>
    </w:p>
    <w:tbl>
      <w:tblPr>
        <w:tblStyle w:val="18"/>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04"/>
        <w:gridCol w:w="1422"/>
        <w:gridCol w:w="7209"/>
      </w:tblGrid>
      <w:tr w14:paraId="08E903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0" w:hRule="atLeast"/>
        </w:trPr>
        <w:tc>
          <w:tcPr>
            <w:tcW w:w="604" w:type="dxa"/>
            <w:vAlign w:val="top"/>
          </w:tcPr>
          <w:p w14:paraId="7580383F">
            <w:pPr>
              <w:pStyle w:val="25"/>
              <w:spacing w:before="1" w:line="420" w:lineRule="exact"/>
              <w:ind w:left="182" w:right="174"/>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序号</w:t>
            </w:r>
          </w:p>
        </w:tc>
        <w:tc>
          <w:tcPr>
            <w:tcW w:w="1422" w:type="dxa"/>
            <w:vAlign w:val="top"/>
          </w:tcPr>
          <w:p w14:paraId="44DAC87B">
            <w:pPr>
              <w:pStyle w:val="25"/>
              <w:spacing w:before="1" w:line="420" w:lineRule="exact"/>
              <w:ind w:left="351" w:right="103" w:hanging="24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资格审查要求概况</w:t>
            </w:r>
          </w:p>
        </w:tc>
        <w:tc>
          <w:tcPr>
            <w:tcW w:w="7209" w:type="dxa"/>
            <w:vAlign w:val="top"/>
          </w:tcPr>
          <w:p w14:paraId="4FBCA61E">
            <w:pPr>
              <w:pStyle w:val="25"/>
              <w:rPr>
                <w:rFonts w:hint="eastAsia" w:asciiTheme="minorEastAsia" w:hAnsiTheme="minorEastAsia" w:eastAsiaTheme="minorEastAsia" w:cstheme="minorEastAsia"/>
                <w:b/>
                <w:color w:val="auto"/>
                <w:sz w:val="24"/>
              </w:rPr>
            </w:pPr>
          </w:p>
          <w:p w14:paraId="0D7497C7">
            <w:pPr>
              <w:pStyle w:val="25"/>
              <w:ind w:left="2744" w:right="274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评审点具体描述</w:t>
            </w:r>
          </w:p>
        </w:tc>
      </w:tr>
      <w:tr w14:paraId="595FBC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9" w:hRule="atLeast"/>
        </w:trPr>
        <w:tc>
          <w:tcPr>
            <w:tcW w:w="604" w:type="dxa"/>
            <w:vAlign w:val="top"/>
          </w:tcPr>
          <w:p w14:paraId="0CD4E0F4">
            <w:pPr>
              <w:pStyle w:val="25"/>
              <w:rPr>
                <w:rFonts w:hint="eastAsia" w:asciiTheme="minorEastAsia" w:hAnsiTheme="minorEastAsia" w:eastAsiaTheme="minorEastAsia" w:cstheme="minorEastAsia"/>
                <w:b/>
                <w:color w:val="auto"/>
                <w:sz w:val="24"/>
              </w:rPr>
            </w:pPr>
          </w:p>
          <w:p w14:paraId="52855CF8">
            <w:pPr>
              <w:pStyle w:val="25"/>
              <w:spacing w:before="8"/>
              <w:rPr>
                <w:rFonts w:hint="eastAsia" w:asciiTheme="minorEastAsia" w:hAnsiTheme="minorEastAsia" w:eastAsiaTheme="minorEastAsia" w:cstheme="minorEastAsia"/>
                <w:b/>
                <w:color w:val="auto"/>
                <w:sz w:val="33"/>
              </w:rPr>
            </w:pPr>
          </w:p>
          <w:p w14:paraId="497C3A7A">
            <w:pPr>
              <w:pStyle w:val="25"/>
              <w:ind w:left="2"/>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1422" w:type="dxa"/>
            <w:vAlign w:val="top"/>
          </w:tcPr>
          <w:p w14:paraId="1BDE30C0">
            <w:pPr>
              <w:pStyle w:val="25"/>
              <w:rPr>
                <w:rFonts w:hint="eastAsia" w:asciiTheme="minorEastAsia" w:hAnsiTheme="minorEastAsia" w:eastAsiaTheme="minorEastAsia" w:cstheme="minorEastAsia"/>
                <w:b/>
                <w:color w:val="auto"/>
                <w:sz w:val="24"/>
              </w:rPr>
            </w:pPr>
          </w:p>
          <w:p w14:paraId="5DB494DD">
            <w:pPr>
              <w:pStyle w:val="25"/>
              <w:spacing w:before="9"/>
              <w:rPr>
                <w:rFonts w:hint="eastAsia" w:asciiTheme="minorEastAsia" w:hAnsiTheme="minorEastAsia" w:eastAsiaTheme="minorEastAsia" w:cstheme="minorEastAsia"/>
                <w:b/>
                <w:color w:val="auto"/>
                <w:sz w:val="32"/>
              </w:rPr>
            </w:pPr>
          </w:p>
          <w:p w14:paraId="27A328F7">
            <w:pPr>
              <w:pStyle w:val="25"/>
              <w:ind w:left="111"/>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单位授权书</w:t>
            </w:r>
          </w:p>
        </w:tc>
        <w:tc>
          <w:tcPr>
            <w:tcW w:w="7209" w:type="dxa"/>
            <w:vAlign w:val="top"/>
          </w:tcPr>
          <w:p w14:paraId="1C6E7580">
            <w:pPr>
              <w:pStyle w:val="25"/>
              <w:spacing w:before="95" w:line="328" w:lineRule="auto"/>
              <w:ind w:left="107" w:right="-2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8"/>
                <w:sz w:val="24"/>
              </w:rPr>
              <w:t>①投标人</w:t>
            </w:r>
            <w:r>
              <w:rPr>
                <w:rFonts w:hint="eastAsia" w:asciiTheme="minorEastAsia" w:hAnsiTheme="minorEastAsia" w:eastAsiaTheme="minorEastAsia" w:cstheme="minorEastAsia"/>
                <w:color w:val="auto"/>
                <w:sz w:val="24"/>
              </w:rPr>
              <w:t>（自然人除外</w:t>
            </w:r>
            <w:r>
              <w:rPr>
                <w:rFonts w:hint="eastAsia" w:asciiTheme="minorEastAsia" w:hAnsiTheme="minorEastAsia" w:eastAsiaTheme="minorEastAsia" w:cstheme="minorEastAsia"/>
                <w:color w:val="auto"/>
                <w:spacing w:val="-29"/>
                <w:sz w:val="24"/>
              </w:rPr>
              <w:t>）：</w:t>
            </w:r>
            <w:r>
              <w:rPr>
                <w:rFonts w:hint="eastAsia" w:asciiTheme="minorEastAsia" w:hAnsiTheme="minorEastAsia" w:eastAsiaTheme="minorEastAsia" w:cstheme="minorEastAsia"/>
                <w:color w:val="auto"/>
                <w:sz w:val="24"/>
              </w:rPr>
              <w:t>若投标人代表为单位授权的委托代理人， 应提供本授权书；若投标人代表为单位负责人，应在此项下提交其身份证正反面复印件，可不提供本授权书。 ②投标人为自然人的，</w:t>
            </w:r>
          </w:p>
          <w:p w14:paraId="1E766DDE">
            <w:pPr>
              <w:pStyle w:val="25"/>
              <w:spacing w:line="299" w:lineRule="exact"/>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可不填写本授权书。</w:t>
            </w:r>
          </w:p>
        </w:tc>
      </w:tr>
      <w:tr w14:paraId="155958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0" w:hRule="atLeast"/>
        </w:trPr>
        <w:tc>
          <w:tcPr>
            <w:tcW w:w="604" w:type="dxa"/>
            <w:vAlign w:val="top"/>
          </w:tcPr>
          <w:p w14:paraId="74033D4F">
            <w:pPr>
              <w:pStyle w:val="25"/>
              <w:rPr>
                <w:rFonts w:hint="eastAsia" w:asciiTheme="minorEastAsia" w:hAnsiTheme="minorEastAsia" w:eastAsiaTheme="minorEastAsia" w:cstheme="minorEastAsia"/>
                <w:b/>
                <w:color w:val="auto"/>
                <w:sz w:val="24"/>
              </w:rPr>
            </w:pPr>
          </w:p>
          <w:p w14:paraId="45745CBE">
            <w:pPr>
              <w:pStyle w:val="25"/>
              <w:rPr>
                <w:rFonts w:hint="eastAsia" w:asciiTheme="minorEastAsia" w:hAnsiTheme="minorEastAsia" w:eastAsiaTheme="minorEastAsia" w:cstheme="minorEastAsia"/>
                <w:b/>
                <w:color w:val="auto"/>
                <w:sz w:val="24"/>
              </w:rPr>
            </w:pPr>
          </w:p>
          <w:p w14:paraId="5D8ED64C">
            <w:pPr>
              <w:pStyle w:val="25"/>
              <w:rPr>
                <w:rFonts w:hint="eastAsia" w:asciiTheme="minorEastAsia" w:hAnsiTheme="minorEastAsia" w:eastAsiaTheme="minorEastAsia" w:cstheme="minorEastAsia"/>
                <w:b/>
                <w:color w:val="auto"/>
                <w:sz w:val="24"/>
              </w:rPr>
            </w:pPr>
          </w:p>
          <w:p w14:paraId="49C3C190">
            <w:pPr>
              <w:pStyle w:val="25"/>
              <w:spacing w:before="9"/>
              <w:rPr>
                <w:rFonts w:hint="eastAsia" w:asciiTheme="minorEastAsia" w:hAnsiTheme="minorEastAsia" w:eastAsiaTheme="minorEastAsia" w:cstheme="minorEastAsia"/>
                <w:b/>
                <w:color w:val="auto"/>
                <w:sz w:val="34"/>
              </w:rPr>
            </w:pPr>
          </w:p>
          <w:p w14:paraId="1CAB08B4">
            <w:pPr>
              <w:pStyle w:val="25"/>
              <w:spacing w:before="1"/>
              <w:ind w:left="2"/>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w:t>
            </w:r>
          </w:p>
        </w:tc>
        <w:tc>
          <w:tcPr>
            <w:tcW w:w="1422" w:type="dxa"/>
            <w:vAlign w:val="top"/>
          </w:tcPr>
          <w:p w14:paraId="5D68915F">
            <w:pPr>
              <w:pStyle w:val="25"/>
              <w:rPr>
                <w:rFonts w:hint="eastAsia" w:asciiTheme="minorEastAsia" w:hAnsiTheme="minorEastAsia" w:eastAsiaTheme="minorEastAsia" w:cstheme="minorEastAsia"/>
                <w:b/>
                <w:color w:val="auto"/>
                <w:sz w:val="24"/>
              </w:rPr>
            </w:pPr>
          </w:p>
          <w:p w14:paraId="4333732A">
            <w:pPr>
              <w:pStyle w:val="25"/>
              <w:rPr>
                <w:rFonts w:hint="eastAsia" w:asciiTheme="minorEastAsia" w:hAnsiTheme="minorEastAsia" w:eastAsiaTheme="minorEastAsia" w:cstheme="minorEastAsia"/>
                <w:b/>
                <w:color w:val="auto"/>
                <w:sz w:val="24"/>
              </w:rPr>
            </w:pPr>
          </w:p>
          <w:p w14:paraId="5406473B">
            <w:pPr>
              <w:pStyle w:val="25"/>
              <w:rPr>
                <w:rFonts w:hint="eastAsia" w:asciiTheme="minorEastAsia" w:hAnsiTheme="minorEastAsia" w:eastAsiaTheme="minorEastAsia" w:cstheme="minorEastAsia"/>
                <w:b/>
                <w:color w:val="auto"/>
                <w:sz w:val="24"/>
              </w:rPr>
            </w:pPr>
          </w:p>
          <w:p w14:paraId="54C55289">
            <w:pPr>
              <w:pStyle w:val="25"/>
              <w:spacing w:before="7"/>
              <w:rPr>
                <w:rFonts w:hint="eastAsia" w:asciiTheme="minorEastAsia" w:hAnsiTheme="minorEastAsia" w:eastAsiaTheme="minorEastAsia" w:cstheme="minorEastAsia"/>
                <w:b/>
                <w:color w:val="auto"/>
                <w:sz w:val="17"/>
              </w:rPr>
            </w:pPr>
          </w:p>
          <w:p w14:paraId="1313392B">
            <w:pPr>
              <w:pStyle w:val="25"/>
              <w:spacing w:line="328" w:lineRule="auto"/>
              <w:ind w:left="231" w:right="103" w:hanging="12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营业执照等证明文件</w:t>
            </w:r>
          </w:p>
        </w:tc>
        <w:tc>
          <w:tcPr>
            <w:tcW w:w="7209" w:type="dxa"/>
            <w:vAlign w:val="top"/>
          </w:tcPr>
          <w:p w14:paraId="0045880C">
            <w:pPr>
              <w:pStyle w:val="25"/>
              <w:spacing w:line="420" w:lineRule="exact"/>
              <w:ind w:left="107" w:right="-2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①投标人为企业的，提供有效的营业执照复印件；投标人为事业单</w:t>
            </w:r>
            <w:r>
              <w:rPr>
                <w:rFonts w:hint="eastAsia" w:asciiTheme="minorEastAsia" w:hAnsiTheme="minorEastAsia" w:eastAsiaTheme="minorEastAsia" w:cstheme="minorEastAsia"/>
                <w:color w:val="auto"/>
                <w:spacing w:val="-9"/>
                <w:sz w:val="24"/>
              </w:rPr>
              <w:t>位的，提供有效的事业单位法人证书复印件；投标人为社会团体的， 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14:paraId="6182FF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604" w:type="dxa"/>
            <w:vAlign w:val="top"/>
          </w:tcPr>
          <w:p w14:paraId="185A0803">
            <w:pPr>
              <w:pStyle w:val="25"/>
              <w:rPr>
                <w:rFonts w:hint="eastAsia" w:asciiTheme="minorEastAsia" w:hAnsiTheme="minorEastAsia" w:eastAsiaTheme="minorEastAsia" w:cstheme="minorEastAsia"/>
                <w:b/>
                <w:color w:val="auto"/>
                <w:sz w:val="24"/>
              </w:rPr>
            </w:pPr>
          </w:p>
          <w:p w14:paraId="002D4864">
            <w:pPr>
              <w:pStyle w:val="25"/>
              <w:rPr>
                <w:rFonts w:hint="eastAsia" w:asciiTheme="minorEastAsia" w:hAnsiTheme="minorEastAsia" w:eastAsiaTheme="minorEastAsia" w:cstheme="minorEastAsia"/>
                <w:b/>
                <w:color w:val="auto"/>
                <w:sz w:val="24"/>
              </w:rPr>
            </w:pPr>
          </w:p>
          <w:p w14:paraId="1D88E0A1">
            <w:pPr>
              <w:pStyle w:val="25"/>
              <w:rPr>
                <w:rFonts w:hint="eastAsia" w:asciiTheme="minorEastAsia" w:hAnsiTheme="minorEastAsia" w:eastAsiaTheme="minorEastAsia" w:cstheme="minorEastAsia"/>
                <w:b/>
                <w:color w:val="auto"/>
                <w:sz w:val="24"/>
              </w:rPr>
            </w:pPr>
          </w:p>
          <w:p w14:paraId="31D1F0A2">
            <w:pPr>
              <w:pStyle w:val="25"/>
              <w:rPr>
                <w:rFonts w:hint="eastAsia" w:asciiTheme="minorEastAsia" w:hAnsiTheme="minorEastAsia" w:eastAsiaTheme="minorEastAsia" w:cstheme="minorEastAsia"/>
                <w:b/>
                <w:color w:val="auto"/>
                <w:sz w:val="24"/>
              </w:rPr>
            </w:pPr>
          </w:p>
          <w:p w14:paraId="5B5DFCB2">
            <w:pPr>
              <w:pStyle w:val="25"/>
              <w:spacing w:before="3"/>
              <w:rPr>
                <w:rFonts w:hint="eastAsia" w:asciiTheme="minorEastAsia" w:hAnsiTheme="minorEastAsia" w:eastAsiaTheme="minorEastAsia" w:cstheme="minorEastAsia"/>
                <w:b/>
                <w:color w:val="auto"/>
                <w:sz w:val="27"/>
              </w:rPr>
            </w:pPr>
          </w:p>
          <w:p w14:paraId="4EE3B83B">
            <w:pPr>
              <w:pStyle w:val="25"/>
              <w:ind w:left="2"/>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w:t>
            </w:r>
          </w:p>
        </w:tc>
        <w:tc>
          <w:tcPr>
            <w:tcW w:w="1422" w:type="dxa"/>
            <w:vAlign w:val="top"/>
          </w:tcPr>
          <w:p w14:paraId="250CCB04">
            <w:pPr>
              <w:pStyle w:val="25"/>
              <w:spacing w:before="1" w:line="328" w:lineRule="auto"/>
              <w:ind w:right="103"/>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提供财务状况报告(财务报告、或资信证明）</w:t>
            </w:r>
          </w:p>
        </w:tc>
        <w:tc>
          <w:tcPr>
            <w:tcW w:w="7209" w:type="dxa"/>
            <w:vAlign w:val="top"/>
          </w:tcPr>
          <w:p w14:paraId="1E47944C">
            <w:pPr>
              <w:pStyle w:val="25"/>
              <w:spacing w:before="112" w:line="304" w:lineRule="exact"/>
              <w:ind w:left="107"/>
              <w:rPr>
                <w:rFonts w:hint="eastAsia" w:asciiTheme="minorEastAsia" w:hAnsiTheme="minorEastAsia" w:eastAsiaTheme="minorEastAsia" w:cstheme="minorEastAsia"/>
                <w:color w:val="auto"/>
                <w:sz w:val="24"/>
              </w:rPr>
            </w:pPr>
            <w:r>
              <w:rPr>
                <w:rFonts w:ascii="宋体" w:hAnsi="宋体" w:cs="宋体"/>
                <w:color w:val="auto"/>
                <w:sz w:val="24"/>
                <w:lang w:bidi="ar"/>
              </w:rPr>
              <w:t>①</w:t>
            </w:r>
            <w:r>
              <w:rPr>
                <w:rFonts w:hint="eastAsia" w:asciiTheme="minorEastAsia" w:hAnsiTheme="minorEastAsia" w:eastAsiaTheme="minorEastAsia" w:cstheme="minorEastAsia"/>
                <w:color w:val="auto"/>
                <w:spacing w:val="-1"/>
                <w:sz w:val="24"/>
              </w:rPr>
              <w:t>投标人</w:t>
            </w:r>
            <w:r>
              <w:rPr>
                <w:rFonts w:ascii="宋体" w:hAnsi="宋体" w:cs="宋体"/>
                <w:color w:val="auto"/>
                <w:sz w:val="24"/>
                <w:lang w:bidi="ar"/>
              </w:rPr>
              <w:t>提供</w:t>
            </w:r>
            <w:r>
              <w:rPr>
                <w:rFonts w:ascii="宋体" w:hAnsi="宋体" w:eastAsia="宋体" w:cs="宋体"/>
                <w:color w:val="auto"/>
                <w:sz w:val="24"/>
                <w:lang w:bidi="ar"/>
              </w:rPr>
              <w:t>2022年度或2023年度的资产负债表、利润表、现金流量表的财务报告复印件或其基本开户银行出具的资信证明</w:t>
            </w:r>
            <w:r>
              <w:rPr>
                <w:rFonts w:ascii="宋体" w:hAnsi="宋体" w:eastAsia="宋体" w:cs="宋体"/>
                <w:color w:val="auto"/>
                <w:sz w:val="24"/>
                <w:lang w:eastAsia="zh-CN" w:bidi="ar"/>
              </w:rPr>
              <w:t>。</w:t>
            </w:r>
          </w:p>
        </w:tc>
      </w:tr>
      <w:tr w14:paraId="645B2D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20" w:hRule="atLeast"/>
        </w:trPr>
        <w:tc>
          <w:tcPr>
            <w:tcW w:w="604" w:type="dxa"/>
            <w:vAlign w:val="top"/>
          </w:tcPr>
          <w:p w14:paraId="3BE318E6">
            <w:pPr>
              <w:pStyle w:val="25"/>
              <w:rPr>
                <w:rFonts w:hint="eastAsia" w:asciiTheme="minorEastAsia" w:hAnsiTheme="minorEastAsia" w:eastAsiaTheme="minorEastAsia" w:cstheme="minorEastAsia"/>
                <w:b/>
                <w:color w:val="auto"/>
                <w:sz w:val="24"/>
              </w:rPr>
            </w:pPr>
          </w:p>
          <w:p w14:paraId="36DCEECF">
            <w:pPr>
              <w:pStyle w:val="25"/>
              <w:rPr>
                <w:rFonts w:hint="eastAsia" w:asciiTheme="minorEastAsia" w:hAnsiTheme="minorEastAsia" w:eastAsiaTheme="minorEastAsia" w:cstheme="minorEastAsia"/>
                <w:b/>
                <w:color w:val="auto"/>
                <w:sz w:val="24"/>
              </w:rPr>
            </w:pPr>
          </w:p>
          <w:p w14:paraId="13F60833">
            <w:pPr>
              <w:pStyle w:val="25"/>
              <w:rPr>
                <w:rFonts w:hint="eastAsia" w:asciiTheme="minorEastAsia" w:hAnsiTheme="minorEastAsia" w:eastAsiaTheme="minorEastAsia" w:cstheme="minorEastAsia"/>
                <w:b/>
                <w:color w:val="auto"/>
                <w:sz w:val="24"/>
              </w:rPr>
            </w:pPr>
          </w:p>
          <w:p w14:paraId="0EB33122">
            <w:pPr>
              <w:pStyle w:val="25"/>
              <w:spacing w:before="5"/>
              <w:rPr>
                <w:rFonts w:hint="eastAsia" w:asciiTheme="minorEastAsia" w:hAnsiTheme="minorEastAsia" w:eastAsiaTheme="minorEastAsia" w:cstheme="minorEastAsia"/>
                <w:b/>
                <w:color w:val="auto"/>
                <w:sz w:val="18"/>
              </w:rPr>
            </w:pPr>
          </w:p>
          <w:p w14:paraId="22DB8EA5">
            <w:pPr>
              <w:pStyle w:val="25"/>
              <w:ind w:left="2"/>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w:t>
            </w:r>
          </w:p>
        </w:tc>
        <w:tc>
          <w:tcPr>
            <w:tcW w:w="1422" w:type="dxa"/>
            <w:vAlign w:val="top"/>
          </w:tcPr>
          <w:p w14:paraId="4537BD01">
            <w:pPr>
              <w:pStyle w:val="25"/>
              <w:rPr>
                <w:rFonts w:hint="eastAsia" w:asciiTheme="minorEastAsia" w:hAnsiTheme="minorEastAsia" w:eastAsiaTheme="minorEastAsia" w:cstheme="minorEastAsia"/>
                <w:b/>
                <w:color w:val="auto"/>
                <w:sz w:val="24"/>
              </w:rPr>
            </w:pPr>
          </w:p>
          <w:p w14:paraId="6819373B">
            <w:pPr>
              <w:pStyle w:val="25"/>
              <w:rPr>
                <w:rFonts w:hint="eastAsia" w:asciiTheme="minorEastAsia" w:hAnsiTheme="minorEastAsia" w:eastAsiaTheme="minorEastAsia" w:cstheme="minorEastAsia"/>
                <w:b/>
                <w:color w:val="auto"/>
                <w:sz w:val="24"/>
              </w:rPr>
            </w:pPr>
          </w:p>
          <w:p w14:paraId="4C1C2380">
            <w:pPr>
              <w:pStyle w:val="25"/>
              <w:rPr>
                <w:rFonts w:hint="eastAsia" w:asciiTheme="minorEastAsia" w:hAnsiTheme="minorEastAsia" w:eastAsiaTheme="minorEastAsia" w:cstheme="minorEastAsia"/>
                <w:b/>
                <w:color w:val="auto"/>
                <w:sz w:val="25"/>
              </w:rPr>
            </w:pPr>
          </w:p>
          <w:p w14:paraId="39686B09">
            <w:pPr>
              <w:pStyle w:val="25"/>
              <w:spacing w:line="328" w:lineRule="auto"/>
              <w:ind w:left="111" w:right="103"/>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依法缴纳税收证明材料</w:t>
            </w:r>
          </w:p>
        </w:tc>
        <w:tc>
          <w:tcPr>
            <w:tcW w:w="7209" w:type="dxa"/>
            <w:vAlign w:val="top"/>
          </w:tcPr>
          <w:p w14:paraId="47623917">
            <w:pPr>
              <w:pStyle w:val="25"/>
              <w:spacing w:line="420" w:lineRule="exact"/>
              <w:ind w:left="107" w:right="1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 xml:space="preserve">①投标人提供的税收缴纳凭据复印件应符合下列规定： </w:t>
            </w:r>
            <w:r>
              <w:rPr>
                <w:rFonts w:hint="eastAsia" w:asciiTheme="minorEastAsia" w:hAnsiTheme="minorEastAsia" w:eastAsiaTheme="minorEastAsia" w:cstheme="minorEastAsia"/>
                <w:color w:val="auto"/>
                <w:sz w:val="24"/>
              </w:rPr>
              <w:t>a.</w:t>
            </w:r>
            <w:r>
              <w:rPr>
                <w:rFonts w:hint="eastAsia" w:asciiTheme="minorEastAsia" w:hAnsiTheme="minorEastAsia" w:eastAsiaTheme="minorEastAsia" w:cstheme="minorEastAsia"/>
                <w:color w:val="auto"/>
                <w:spacing w:val="-4"/>
                <w:sz w:val="24"/>
              </w:rPr>
              <w:t>投标截止</w:t>
            </w:r>
            <w:r>
              <w:rPr>
                <w:rFonts w:hint="eastAsia" w:asciiTheme="minorEastAsia" w:hAnsiTheme="minorEastAsia" w:eastAsiaTheme="minorEastAsia" w:cstheme="minorEastAsia"/>
                <w:color w:val="auto"/>
                <w:sz w:val="24"/>
              </w:rPr>
              <w:t>时间前（不含投标截止时间的当月）</w:t>
            </w:r>
            <w:r>
              <w:rPr>
                <w:rFonts w:hint="eastAsia" w:asciiTheme="minorEastAsia" w:hAnsiTheme="minorEastAsia" w:eastAsiaTheme="minorEastAsia" w:cstheme="minorEastAsia"/>
                <w:color w:val="auto"/>
                <w:spacing w:val="-1"/>
                <w:sz w:val="24"/>
              </w:rPr>
              <w:t>已依法缴纳税收的投标人，提</w:t>
            </w:r>
            <w:r>
              <w:rPr>
                <w:rFonts w:hint="eastAsia" w:asciiTheme="minorEastAsia" w:hAnsiTheme="minorEastAsia" w:eastAsiaTheme="minorEastAsia" w:cstheme="minorEastAsia"/>
                <w:color w:val="auto"/>
                <w:sz w:val="24"/>
              </w:rPr>
              <w:t>供投标截止时间前六个月（不含投标截止时间的当月）</w:t>
            </w:r>
            <w:r>
              <w:rPr>
                <w:rFonts w:hint="eastAsia" w:asciiTheme="minorEastAsia" w:hAnsiTheme="minorEastAsia" w:eastAsiaTheme="minorEastAsia" w:cstheme="minorEastAsia"/>
                <w:color w:val="auto"/>
                <w:spacing w:val="-3"/>
                <w:sz w:val="24"/>
              </w:rPr>
              <w:t>中任一月份</w:t>
            </w:r>
            <w:r>
              <w:rPr>
                <w:rFonts w:hint="eastAsia" w:asciiTheme="minorEastAsia" w:hAnsiTheme="minorEastAsia" w:eastAsiaTheme="minorEastAsia" w:cstheme="minorEastAsia"/>
                <w:color w:val="auto"/>
                <w:spacing w:val="-2"/>
                <w:sz w:val="24"/>
              </w:rPr>
              <w:t xml:space="preserve">的税收缴纳凭据复印件。 </w:t>
            </w:r>
            <w:r>
              <w:rPr>
                <w:rFonts w:hint="eastAsia" w:asciiTheme="minorEastAsia" w:hAnsiTheme="minorEastAsia" w:eastAsiaTheme="minorEastAsia" w:cstheme="minorEastAsia"/>
                <w:color w:val="auto"/>
                <w:sz w:val="24"/>
              </w:rPr>
              <w:t>b.</w:t>
            </w:r>
            <w:r>
              <w:rPr>
                <w:rFonts w:hint="eastAsia" w:asciiTheme="minorEastAsia" w:hAnsiTheme="minorEastAsia" w:eastAsiaTheme="minorEastAsia" w:cstheme="minorEastAsia"/>
                <w:color w:val="auto"/>
                <w:spacing w:val="-3"/>
                <w:sz w:val="24"/>
              </w:rPr>
              <w:t>投标截止时间的当月成立的投标人，视</w:t>
            </w:r>
            <w:r>
              <w:rPr>
                <w:rFonts w:hint="eastAsia" w:asciiTheme="minorEastAsia" w:hAnsiTheme="minorEastAsia" w:eastAsiaTheme="minorEastAsia" w:cstheme="minorEastAsia"/>
                <w:color w:val="auto"/>
                <w:spacing w:val="-1"/>
                <w:sz w:val="24"/>
              </w:rPr>
              <w:t xml:space="preserve">同满足本项资格条件要求。 </w:t>
            </w:r>
            <w:r>
              <w:rPr>
                <w:rFonts w:hint="eastAsia" w:asciiTheme="minorEastAsia" w:hAnsiTheme="minorEastAsia" w:eastAsiaTheme="minorEastAsia" w:cstheme="minorEastAsia"/>
                <w:color w:val="auto"/>
                <w:sz w:val="24"/>
              </w:rPr>
              <w:t>c.</w:t>
            </w:r>
            <w:r>
              <w:rPr>
                <w:rFonts w:hint="eastAsia" w:asciiTheme="minorEastAsia" w:hAnsiTheme="minorEastAsia" w:eastAsiaTheme="minorEastAsia" w:cstheme="minorEastAsia"/>
                <w:color w:val="auto"/>
                <w:spacing w:val="-2"/>
                <w:sz w:val="24"/>
              </w:rPr>
              <w:t>若为依法免税范围的投标人，提供依</w:t>
            </w:r>
            <w:r>
              <w:rPr>
                <w:rFonts w:hint="eastAsia" w:asciiTheme="minorEastAsia" w:hAnsiTheme="minorEastAsia" w:eastAsiaTheme="minorEastAsia" w:cstheme="minorEastAsia"/>
                <w:color w:val="auto"/>
                <w:sz w:val="24"/>
              </w:rPr>
              <w:t>法免税证明材料的，视同满足本项资格条件要求。</w:t>
            </w:r>
          </w:p>
        </w:tc>
      </w:tr>
      <w:tr w14:paraId="26FB7C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7" w:hRule="atLeast"/>
        </w:trPr>
        <w:tc>
          <w:tcPr>
            <w:tcW w:w="604" w:type="dxa"/>
            <w:vAlign w:val="top"/>
          </w:tcPr>
          <w:p w14:paraId="1B8CD56D">
            <w:pPr>
              <w:pStyle w:val="25"/>
              <w:rPr>
                <w:rFonts w:hint="eastAsia" w:asciiTheme="minorEastAsia" w:hAnsiTheme="minorEastAsia" w:eastAsiaTheme="minorEastAsia" w:cstheme="minorEastAsia"/>
                <w:b/>
                <w:color w:val="auto"/>
                <w:sz w:val="24"/>
              </w:rPr>
            </w:pPr>
          </w:p>
          <w:p w14:paraId="29AE88CF">
            <w:pPr>
              <w:pStyle w:val="25"/>
              <w:spacing w:before="8"/>
              <w:rPr>
                <w:rFonts w:hint="eastAsia" w:asciiTheme="minorEastAsia" w:hAnsiTheme="minorEastAsia" w:eastAsiaTheme="minorEastAsia" w:cstheme="minorEastAsia"/>
                <w:b/>
                <w:color w:val="auto"/>
                <w:sz w:val="33"/>
              </w:rPr>
            </w:pPr>
          </w:p>
          <w:p w14:paraId="408C4417">
            <w:pPr>
              <w:pStyle w:val="25"/>
              <w:ind w:left="2"/>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5</w:t>
            </w:r>
          </w:p>
        </w:tc>
        <w:tc>
          <w:tcPr>
            <w:tcW w:w="1422" w:type="dxa"/>
            <w:vAlign w:val="top"/>
          </w:tcPr>
          <w:p w14:paraId="714CC0B7">
            <w:pPr>
              <w:pStyle w:val="25"/>
              <w:spacing w:before="12"/>
              <w:rPr>
                <w:rFonts w:hint="eastAsia" w:asciiTheme="minorEastAsia" w:hAnsiTheme="minorEastAsia" w:eastAsiaTheme="minorEastAsia" w:cstheme="minorEastAsia"/>
                <w:b/>
                <w:color w:val="auto"/>
                <w:sz w:val="23"/>
              </w:rPr>
            </w:pPr>
          </w:p>
          <w:p w14:paraId="269B95FB">
            <w:pPr>
              <w:pStyle w:val="25"/>
              <w:spacing w:line="328" w:lineRule="auto"/>
              <w:ind w:left="111" w:right="103"/>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依法缴纳社会保障资金证明材料</w:t>
            </w:r>
          </w:p>
        </w:tc>
        <w:tc>
          <w:tcPr>
            <w:tcW w:w="7209" w:type="dxa"/>
            <w:vAlign w:val="top"/>
          </w:tcPr>
          <w:p w14:paraId="5515CD81">
            <w:pPr>
              <w:pStyle w:val="25"/>
              <w:spacing w:line="420" w:lineRule="exact"/>
              <w:ind w:left="107" w:right="1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 xml:space="preserve">①投标人提供的社会保障资金缴纳凭据复印件应符合下列规定： </w:t>
            </w:r>
            <w:r>
              <w:rPr>
                <w:rFonts w:hint="eastAsia" w:asciiTheme="minorEastAsia" w:hAnsiTheme="minorEastAsia" w:eastAsiaTheme="minorEastAsia" w:cstheme="minorEastAsia"/>
                <w:color w:val="auto"/>
                <w:spacing w:val="-9"/>
                <w:sz w:val="24"/>
              </w:rPr>
              <w:t xml:space="preserve">a. </w:t>
            </w:r>
            <w:r>
              <w:rPr>
                <w:rFonts w:hint="eastAsia" w:asciiTheme="minorEastAsia" w:hAnsiTheme="minorEastAsia" w:eastAsiaTheme="minorEastAsia" w:cstheme="minorEastAsia"/>
                <w:color w:val="auto"/>
                <w:sz w:val="24"/>
              </w:rPr>
              <w:t>投标截止时间前（不含投标截止时间的当月）</w:t>
            </w:r>
            <w:r>
              <w:rPr>
                <w:rFonts w:hint="eastAsia" w:asciiTheme="minorEastAsia" w:hAnsiTheme="minorEastAsia" w:eastAsiaTheme="minorEastAsia" w:cstheme="minorEastAsia"/>
                <w:color w:val="auto"/>
                <w:spacing w:val="-2"/>
                <w:sz w:val="24"/>
              </w:rPr>
              <w:t>已依法缴纳社会保障</w:t>
            </w:r>
            <w:r>
              <w:rPr>
                <w:rFonts w:hint="eastAsia" w:asciiTheme="minorEastAsia" w:hAnsiTheme="minorEastAsia" w:eastAsiaTheme="minorEastAsia" w:cstheme="minorEastAsia"/>
                <w:color w:val="auto"/>
                <w:sz w:val="24"/>
              </w:rPr>
              <w:t>资金的投标人，提供投标截止时间前六个月（</w:t>
            </w:r>
            <w:r>
              <w:rPr>
                <w:rFonts w:hint="eastAsia" w:asciiTheme="minorEastAsia" w:hAnsiTheme="minorEastAsia" w:eastAsiaTheme="minorEastAsia" w:cstheme="minorEastAsia"/>
                <w:color w:val="auto"/>
                <w:spacing w:val="-2"/>
                <w:sz w:val="24"/>
              </w:rPr>
              <w:t>不含投标截止时间的</w:t>
            </w:r>
            <w:r>
              <w:rPr>
                <w:rFonts w:hint="eastAsia" w:asciiTheme="minorEastAsia" w:hAnsiTheme="minorEastAsia" w:eastAsiaTheme="minorEastAsia" w:cstheme="minorEastAsia"/>
                <w:color w:val="auto"/>
                <w:sz w:val="24"/>
              </w:rPr>
              <w:t>当月</w:t>
            </w:r>
            <w:r>
              <w:rPr>
                <w:rFonts w:hint="eastAsia" w:asciiTheme="minorEastAsia" w:hAnsiTheme="minorEastAsia" w:eastAsiaTheme="minorEastAsia" w:cstheme="minorEastAsia"/>
                <w:color w:val="auto"/>
                <w:spacing w:val="-17"/>
                <w:sz w:val="24"/>
              </w:rPr>
              <w:t>）</w:t>
            </w:r>
            <w:r>
              <w:rPr>
                <w:rFonts w:hint="eastAsia" w:asciiTheme="minorEastAsia" w:hAnsiTheme="minorEastAsia" w:eastAsiaTheme="minorEastAsia" w:cstheme="minorEastAsia"/>
                <w:color w:val="auto"/>
                <w:spacing w:val="-1"/>
                <w:sz w:val="24"/>
              </w:rPr>
              <w:t xml:space="preserve">中任一月份的社会保障资金缴纳凭据复印件。 </w:t>
            </w:r>
            <w:r>
              <w:rPr>
                <w:rFonts w:hint="eastAsia" w:asciiTheme="minorEastAsia" w:hAnsiTheme="minorEastAsia" w:eastAsiaTheme="minorEastAsia" w:cstheme="minorEastAsia"/>
                <w:color w:val="auto"/>
                <w:sz w:val="24"/>
              </w:rPr>
              <w:t>b.</w:t>
            </w:r>
            <w:r>
              <w:rPr>
                <w:rFonts w:hint="eastAsia" w:asciiTheme="minorEastAsia" w:hAnsiTheme="minorEastAsia" w:eastAsiaTheme="minorEastAsia" w:cstheme="minorEastAsia"/>
                <w:color w:val="auto"/>
                <w:spacing w:val="-4"/>
                <w:sz w:val="24"/>
              </w:rPr>
              <w:t>投标截止时</w:t>
            </w:r>
            <w:r>
              <w:rPr>
                <w:rFonts w:hint="eastAsia" w:asciiTheme="minorEastAsia" w:hAnsiTheme="minorEastAsia" w:eastAsiaTheme="minorEastAsia" w:cstheme="minorEastAsia"/>
                <w:color w:val="auto"/>
                <w:spacing w:val="-2"/>
                <w:sz w:val="24"/>
              </w:rPr>
              <w:t xml:space="preserve">间的当月成立的投标人，视同满足本项资格条件要求。 </w:t>
            </w:r>
            <w:r>
              <w:rPr>
                <w:rFonts w:hint="eastAsia" w:asciiTheme="minorEastAsia" w:hAnsiTheme="minorEastAsia" w:eastAsiaTheme="minorEastAsia" w:cstheme="minorEastAsia"/>
                <w:color w:val="auto"/>
                <w:sz w:val="24"/>
              </w:rPr>
              <w:t>c.</w:t>
            </w:r>
            <w:r>
              <w:rPr>
                <w:rFonts w:hint="eastAsia" w:asciiTheme="minorEastAsia" w:hAnsiTheme="minorEastAsia" w:eastAsiaTheme="minorEastAsia" w:cstheme="minorEastAsia"/>
                <w:color w:val="auto"/>
                <w:spacing w:val="-4"/>
                <w:sz w:val="24"/>
              </w:rPr>
              <w:t>若为依法</w:t>
            </w:r>
            <w:r>
              <w:rPr>
                <w:rFonts w:hint="eastAsia" w:asciiTheme="minorEastAsia" w:hAnsiTheme="minorEastAsia" w:eastAsiaTheme="minorEastAsia" w:cstheme="minorEastAsia"/>
                <w:color w:val="auto"/>
                <w:spacing w:val="-1"/>
                <w:sz w:val="24"/>
              </w:rPr>
              <w:t>不需要缴纳或暂缓缴纳社会保障资金的投标人，提供依法不需要缴纳或暂缓缴纳社会保障资金证明材料的，视同满足本项资格条件要</w:t>
            </w:r>
            <w:r>
              <w:rPr>
                <w:rFonts w:hint="eastAsia" w:asciiTheme="minorEastAsia" w:hAnsiTheme="minorEastAsia" w:eastAsiaTheme="minorEastAsia" w:cstheme="minorEastAsia"/>
                <w:color w:val="auto"/>
                <w:sz w:val="24"/>
              </w:rPr>
              <w:t>求。</w:t>
            </w:r>
          </w:p>
        </w:tc>
      </w:tr>
      <w:tr w14:paraId="16057A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7" w:hRule="atLeast"/>
        </w:trPr>
        <w:tc>
          <w:tcPr>
            <w:tcW w:w="604" w:type="dxa"/>
            <w:vAlign w:val="center"/>
          </w:tcPr>
          <w:p w14:paraId="7724421B">
            <w:pPr>
              <w:pStyle w:val="25"/>
              <w:spacing w:before="65"/>
              <w:ind w:left="2" w:leftChars="0" w:right="0" w:right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6</w:t>
            </w:r>
          </w:p>
        </w:tc>
        <w:tc>
          <w:tcPr>
            <w:tcW w:w="1422" w:type="dxa"/>
            <w:vAlign w:val="center"/>
          </w:tcPr>
          <w:p w14:paraId="2F765943">
            <w:pPr>
              <w:pStyle w:val="25"/>
              <w:spacing w:before="95"/>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具备履行合</w:t>
            </w:r>
          </w:p>
          <w:p w14:paraId="21E12A25">
            <w:pPr>
              <w:pStyle w:val="25"/>
              <w:spacing w:before="53"/>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同所必需设</w:t>
            </w:r>
          </w:p>
          <w:p w14:paraId="73FC0EF9">
            <w:pPr>
              <w:pStyle w:val="25"/>
              <w:spacing w:before="53"/>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备和专业技</w:t>
            </w:r>
          </w:p>
          <w:p w14:paraId="4B36F5BD">
            <w:pPr>
              <w:pStyle w:val="25"/>
              <w:spacing w:before="40"/>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术能力的声</w:t>
            </w:r>
          </w:p>
          <w:p w14:paraId="13636AF7">
            <w:pPr>
              <w:pStyle w:val="25"/>
              <w:spacing w:before="53" w:line="303" w:lineRule="exact"/>
              <w:ind w:left="156" w:leftChars="0" w:right="0" w:right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明函(若有)</w:t>
            </w:r>
          </w:p>
        </w:tc>
        <w:tc>
          <w:tcPr>
            <w:tcW w:w="7209" w:type="dxa"/>
            <w:vAlign w:val="top"/>
          </w:tcPr>
          <w:p w14:paraId="37F02122">
            <w:pPr>
              <w:pStyle w:val="25"/>
              <w:spacing w:line="328" w:lineRule="auto"/>
              <w:ind w:left="107" w:leftChars="0" w:right="100" w:rightChars="0"/>
              <w:jc w:val="both"/>
              <w:rPr>
                <w:rFonts w:hint="eastAsia" w:asciiTheme="minorEastAsia" w:hAnsiTheme="minorEastAsia" w:eastAsiaTheme="minorEastAsia" w:cstheme="minorEastAsia"/>
                <w:color w:val="auto"/>
                <w:spacing w:val="-1"/>
                <w:sz w:val="24"/>
              </w:rPr>
            </w:pPr>
            <w:r>
              <w:rPr>
                <w:rFonts w:hint="eastAsia" w:asciiTheme="minorEastAsia" w:hAnsiTheme="minorEastAsia" w:eastAsiaTheme="minorEastAsia" w:cstheme="minorEastAsia"/>
                <w:color w:val="auto"/>
                <w:sz w:val="24"/>
              </w:rPr>
              <w:t>①招标文件未要求投标人提供“具备履行合同所必需的设备和专业</w:t>
            </w:r>
            <w:r>
              <w:rPr>
                <w:rFonts w:hint="eastAsia" w:asciiTheme="minorEastAsia" w:hAnsiTheme="minorEastAsia" w:eastAsiaTheme="minorEastAsia" w:cstheme="minorEastAsia"/>
                <w:color w:val="auto"/>
                <w:spacing w:val="-7"/>
                <w:sz w:val="24"/>
              </w:rPr>
              <w:t>技术能力专项证明材料”的，投标人应提供本声明函。 ②招标文件</w:t>
            </w:r>
            <w:r>
              <w:rPr>
                <w:rFonts w:hint="eastAsia" w:asciiTheme="minorEastAsia" w:hAnsiTheme="minorEastAsia" w:eastAsiaTheme="minorEastAsia" w:cstheme="minorEastAsia"/>
                <w:color w:val="auto"/>
                <w:sz w:val="24"/>
              </w:rPr>
              <w:t>要求投标人提供“具备履行合同所必需的设备和专业技术能力专项证明材料”的，投标人可不提供本声明函。</w:t>
            </w:r>
          </w:p>
        </w:tc>
      </w:tr>
      <w:tr w14:paraId="372440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7" w:hRule="atLeast"/>
        </w:trPr>
        <w:tc>
          <w:tcPr>
            <w:tcW w:w="604" w:type="dxa"/>
            <w:vAlign w:val="center"/>
          </w:tcPr>
          <w:p w14:paraId="72EFB4FE">
            <w:pPr>
              <w:pStyle w:val="25"/>
              <w:spacing w:line="241" w:lineRule="exact"/>
              <w:ind w:left="2" w:leftChars="0" w:right="0" w:right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7</w:t>
            </w:r>
          </w:p>
        </w:tc>
        <w:tc>
          <w:tcPr>
            <w:tcW w:w="1422" w:type="dxa"/>
            <w:vAlign w:val="center"/>
          </w:tcPr>
          <w:p w14:paraId="4625B5AC">
            <w:pPr>
              <w:pStyle w:val="25"/>
              <w:spacing w:before="96"/>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参加采购活</w:t>
            </w:r>
          </w:p>
          <w:p w14:paraId="3A54BC7C">
            <w:pPr>
              <w:pStyle w:val="25"/>
              <w:spacing w:before="53"/>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动前三年内</w:t>
            </w:r>
          </w:p>
          <w:p w14:paraId="30B545A2">
            <w:pPr>
              <w:pStyle w:val="25"/>
              <w:spacing w:before="53" w:line="250" w:lineRule="exact"/>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在经营活动</w:t>
            </w:r>
          </w:p>
          <w:p w14:paraId="67390073">
            <w:pPr>
              <w:pStyle w:val="25"/>
              <w:spacing w:before="145"/>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中没有重大</w:t>
            </w:r>
          </w:p>
          <w:p w14:paraId="6D2FAE79">
            <w:pPr>
              <w:pStyle w:val="25"/>
              <w:spacing w:before="53"/>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违法记录的</w:t>
            </w:r>
          </w:p>
          <w:p w14:paraId="0DC608AC">
            <w:pPr>
              <w:pStyle w:val="25"/>
              <w:spacing w:before="53" w:line="304" w:lineRule="exact"/>
              <w:ind w:left="471" w:leftChars="0" w:right="0" w:right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声明</w:t>
            </w:r>
          </w:p>
        </w:tc>
        <w:tc>
          <w:tcPr>
            <w:tcW w:w="7209" w:type="dxa"/>
            <w:vAlign w:val="top"/>
          </w:tcPr>
          <w:p w14:paraId="2A18307F">
            <w:pPr>
              <w:pStyle w:val="25"/>
              <w:rPr>
                <w:rFonts w:hint="eastAsia" w:asciiTheme="minorEastAsia" w:hAnsiTheme="minorEastAsia" w:eastAsiaTheme="minorEastAsia" w:cstheme="minorEastAsia"/>
                <w:b/>
                <w:color w:val="auto"/>
                <w:sz w:val="24"/>
              </w:rPr>
            </w:pPr>
          </w:p>
          <w:p w14:paraId="5C5ACE96">
            <w:pPr>
              <w:pStyle w:val="25"/>
              <w:spacing w:line="328" w:lineRule="auto"/>
              <w:ind w:left="107" w:right="-2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①重大违法记录：指投标人因违法经营受到刑事处罚或责令停产停</w:t>
            </w:r>
            <w:r>
              <w:rPr>
                <w:rFonts w:hint="eastAsia" w:asciiTheme="minorEastAsia" w:hAnsiTheme="minorEastAsia" w:eastAsiaTheme="minorEastAsia" w:cstheme="minorEastAsia"/>
                <w:color w:val="auto"/>
                <w:spacing w:val="-21"/>
                <w:sz w:val="24"/>
              </w:rPr>
              <w:t>业、吊销许可证或执照、较大数额罚款等行政处罚。根据财库〔</w:t>
            </w:r>
            <w:r>
              <w:rPr>
                <w:rFonts w:hint="eastAsia" w:asciiTheme="minorEastAsia" w:hAnsiTheme="minorEastAsia" w:eastAsiaTheme="minorEastAsia" w:cstheme="minorEastAsia"/>
                <w:color w:val="auto"/>
                <w:sz w:val="24"/>
              </w:rPr>
              <w:t>2022〕</w:t>
            </w:r>
          </w:p>
          <w:p w14:paraId="2334965D">
            <w:pPr>
              <w:pStyle w:val="25"/>
              <w:spacing w:line="328" w:lineRule="auto"/>
              <w:ind w:left="107" w:leftChars="0" w:right="134" w:rightChars="0"/>
              <w:jc w:val="both"/>
              <w:rPr>
                <w:rFonts w:hint="eastAsia" w:asciiTheme="minorEastAsia" w:hAnsiTheme="minorEastAsia" w:eastAsiaTheme="minorEastAsia" w:cstheme="minorEastAsia"/>
                <w:color w:val="auto"/>
                <w:spacing w:val="-1"/>
                <w:sz w:val="24"/>
              </w:rPr>
            </w:pPr>
            <w:r>
              <w:rPr>
                <w:rFonts w:hint="eastAsia" w:asciiTheme="minorEastAsia" w:hAnsiTheme="minorEastAsia" w:eastAsiaTheme="minorEastAsia" w:cstheme="minorEastAsia"/>
                <w:color w:val="auto"/>
                <w:sz w:val="24"/>
              </w:rPr>
              <w:t>3 号文件的规定，“较大数额罚款”认定为 200 万元以上的罚款， 法律、行政法规以及国务院有关部门明确规定相关领域“较大数额罚款”标准高于 200 万元的，从其规定。</w:t>
            </w:r>
          </w:p>
        </w:tc>
      </w:tr>
      <w:tr w14:paraId="501D8A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604" w:type="dxa"/>
            <w:vAlign w:val="center"/>
          </w:tcPr>
          <w:p w14:paraId="5CDD9BD7">
            <w:pPr>
              <w:pStyle w:val="25"/>
              <w:spacing w:line="243" w:lineRule="exact"/>
              <w:ind w:left="2" w:leftChars="0" w:right="0" w:right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8</w:t>
            </w:r>
          </w:p>
        </w:tc>
        <w:tc>
          <w:tcPr>
            <w:tcW w:w="1422" w:type="dxa"/>
            <w:vAlign w:val="center"/>
          </w:tcPr>
          <w:p w14:paraId="17007610">
            <w:pPr>
              <w:pStyle w:val="25"/>
              <w:spacing w:before="43" w:line="252" w:lineRule="exact"/>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信用记录查</w:t>
            </w:r>
          </w:p>
          <w:p w14:paraId="63656557">
            <w:pPr>
              <w:pStyle w:val="25"/>
              <w:spacing w:before="147"/>
              <w:ind w:left="351" w:leftChars="0" w:right="0" w:right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询结果</w:t>
            </w:r>
          </w:p>
        </w:tc>
        <w:tc>
          <w:tcPr>
            <w:tcW w:w="7209" w:type="dxa"/>
            <w:vAlign w:val="top"/>
          </w:tcPr>
          <w:p w14:paraId="14C48B0D">
            <w:pPr>
              <w:pStyle w:val="25"/>
              <w:spacing w:line="328" w:lineRule="auto"/>
              <w:ind w:left="107" w:right="100"/>
              <w:jc w:val="both"/>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pacing w:val="-7"/>
                <w:sz w:val="24"/>
              </w:rPr>
              <w:t>①信用记录查询的截止时点：信用记录查询的截止时点为本项目投</w:t>
            </w:r>
          </w:p>
          <w:p w14:paraId="121B4C8D">
            <w:pPr>
              <w:pStyle w:val="25"/>
              <w:spacing w:line="328" w:lineRule="auto"/>
              <w:ind w:left="107" w:right="100"/>
              <w:jc w:val="both"/>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pacing w:val="-7"/>
                <w:sz w:val="24"/>
              </w:rPr>
              <w:t>标截止当日。 ②信用记录查询渠道：信用中国</w:t>
            </w:r>
          </w:p>
          <w:p w14:paraId="5D8C016F">
            <w:pPr>
              <w:pStyle w:val="25"/>
              <w:spacing w:line="328" w:lineRule="auto"/>
              <w:ind w:left="107" w:right="100"/>
              <w:jc w:val="both"/>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pacing w:val="-7"/>
                <w:sz w:val="24"/>
              </w:rPr>
              <w:t>（</w:t>
            </w:r>
            <w:r>
              <w:rPr>
                <w:rFonts w:hint="eastAsia" w:asciiTheme="minorEastAsia" w:hAnsiTheme="minorEastAsia" w:eastAsiaTheme="minorEastAsia" w:cstheme="minorEastAsia"/>
                <w:color w:val="auto"/>
                <w:spacing w:val="-7"/>
                <w:sz w:val="24"/>
              </w:rPr>
              <w:fldChar w:fldCharType="begin"/>
            </w:r>
            <w:r>
              <w:rPr>
                <w:rFonts w:hint="eastAsia" w:asciiTheme="minorEastAsia" w:hAnsiTheme="minorEastAsia" w:eastAsiaTheme="minorEastAsia" w:cstheme="minorEastAsia"/>
                <w:color w:val="auto"/>
                <w:spacing w:val="-7"/>
                <w:sz w:val="24"/>
              </w:rPr>
              <w:instrText xml:space="preserve"> HYPERLINK "http://www.creditchina.gov.cn/" \h </w:instrText>
            </w:r>
            <w:r>
              <w:rPr>
                <w:rFonts w:hint="eastAsia" w:asciiTheme="minorEastAsia" w:hAnsiTheme="minorEastAsia" w:eastAsiaTheme="minorEastAsia" w:cstheme="minorEastAsia"/>
                <w:color w:val="auto"/>
                <w:spacing w:val="-7"/>
                <w:sz w:val="24"/>
              </w:rPr>
              <w:fldChar w:fldCharType="separate"/>
            </w:r>
            <w:r>
              <w:rPr>
                <w:rFonts w:hint="eastAsia" w:asciiTheme="minorEastAsia" w:hAnsiTheme="minorEastAsia" w:eastAsiaTheme="minorEastAsia" w:cstheme="minorEastAsia"/>
                <w:color w:val="auto"/>
                <w:spacing w:val="-7"/>
                <w:sz w:val="24"/>
              </w:rPr>
              <w:t>www.creditchina.gov.cn</w:t>
            </w:r>
            <w:r>
              <w:rPr>
                <w:rFonts w:hint="eastAsia" w:asciiTheme="minorEastAsia" w:hAnsiTheme="minorEastAsia" w:eastAsiaTheme="minorEastAsia" w:cstheme="minorEastAsia"/>
                <w:color w:val="auto"/>
                <w:spacing w:val="-7"/>
                <w:sz w:val="24"/>
              </w:rPr>
              <w:fldChar w:fldCharType="end"/>
            </w:r>
            <w:r>
              <w:rPr>
                <w:rFonts w:hint="eastAsia" w:asciiTheme="minorEastAsia" w:hAnsiTheme="minorEastAsia" w:eastAsiaTheme="minorEastAsia" w:cstheme="minorEastAsia"/>
                <w:color w:val="auto"/>
                <w:spacing w:val="-7"/>
                <w:sz w:val="24"/>
              </w:rPr>
              <w:t>）、中国政府采购网（</w:t>
            </w:r>
            <w:r>
              <w:rPr>
                <w:rFonts w:hint="eastAsia" w:asciiTheme="minorEastAsia" w:hAnsiTheme="minorEastAsia" w:eastAsiaTheme="minorEastAsia" w:cstheme="minorEastAsia"/>
                <w:color w:val="auto"/>
                <w:spacing w:val="-7"/>
                <w:sz w:val="24"/>
              </w:rPr>
              <w:fldChar w:fldCharType="begin"/>
            </w:r>
            <w:r>
              <w:rPr>
                <w:rFonts w:hint="eastAsia" w:asciiTheme="minorEastAsia" w:hAnsiTheme="minorEastAsia" w:eastAsiaTheme="minorEastAsia" w:cstheme="minorEastAsia"/>
                <w:color w:val="auto"/>
                <w:spacing w:val="-7"/>
                <w:sz w:val="24"/>
              </w:rPr>
              <w:instrText xml:space="preserve"> HYPERLINK "http://www.ccgp.gov.cn/" \h </w:instrText>
            </w:r>
            <w:r>
              <w:rPr>
                <w:rFonts w:hint="eastAsia" w:asciiTheme="minorEastAsia" w:hAnsiTheme="minorEastAsia" w:eastAsiaTheme="minorEastAsia" w:cstheme="minorEastAsia"/>
                <w:color w:val="auto"/>
                <w:spacing w:val="-7"/>
                <w:sz w:val="24"/>
              </w:rPr>
              <w:fldChar w:fldCharType="separate"/>
            </w:r>
            <w:r>
              <w:rPr>
                <w:rFonts w:hint="eastAsia" w:asciiTheme="minorEastAsia" w:hAnsiTheme="minorEastAsia" w:eastAsiaTheme="minorEastAsia" w:cstheme="minorEastAsia"/>
                <w:color w:val="auto"/>
                <w:spacing w:val="-7"/>
                <w:sz w:val="24"/>
              </w:rPr>
              <w:t>www.ccgp.gov.cn</w:t>
            </w:r>
            <w:r>
              <w:rPr>
                <w:rFonts w:hint="eastAsia" w:asciiTheme="minorEastAsia" w:hAnsiTheme="minorEastAsia" w:eastAsiaTheme="minorEastAsia" w:cstheme="minorEastAsia"/>
                <w:color w:val="auto"/>
                <w:spacing w:val="-7"/>
                <w:sz w:val="24"/>
              </w:rPr>
              <w:fldChar w:fldCharType="end"/>
            </w:r>
            <w:r>
              <w:rPr>
                <w:rFonts w:hint="eastAsia" w:asciiTheme="minorEastAsia" w:hAnsiTheme="minorEastAsia" w:eastAsiaTheme="minorEastAsia" w:cstheme="minorEastAsia"/>
                <w:color w:val="auto"/>
                <w:spacing w:val="-7"/>
                <w:sz w:val="24"/>
              </w:rPr>
              <w:t>）。</w:t>
            </w:r>
          </w:p>
          <w:p w14:paraId="66375881">
            <w:pPr>
              <w:pStyle w:val="25"/>
              <w:spacing w:line="328" w:lineRule="auto"/>
              <w:ind w:left="107" w:right="100"/>
              <w:jc w:val="both"/>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pacing w:val="-7"/>
                <w:sz w:val="24"/>
              </w:rPr>
              <w:t>③信用记录的查询：由资格审查小组通过上述网站查询并打印投标</w:t>
            </w:r>
          </w:p>
          <w:p w14:paraId="06096676">
            <w:pPr>
              <w:pStyle w:val="25"/>
              <w:spacing w:line="328" w:lineRule="auto"/>
              <w:ind w:left="107" w:right="100"/>
              <w:jc w:val="both"/>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pacing w:val="-7"/>
                <w:sz w:val="24"/>
              </w:rPr>
              <w:t>人的信用记录。 ④经查询，投标人参加本项目采购活动(投标截止</w:t>
            </w:r>
          </w:p>
          <w:p w14:paraId="31688396">
            <w:pPr>
              <w:pStyle w:val="25"/>
              <w:spacing w:line="328" w:lineRule="auto"/>
              <w:ind w:left="107" w:right="100"/>
              <w:jc w:val="both"/>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pacing w:val="-7"/>
                <w:sz w:val="24"/>
              </w:rPr>
              <w:t>时间)前三年内被列入失信被执行人名单、重大税收违法案件当事人</w:t>
            </w:r>
          </w:p>
          <w:p w14:paraId="5C784506">
            <w:pPr>
              <w:pStyle w:val="25"/>
              <w:spacing w:line="328" w:lineRule="auto"/>
              <w:ind w:left="107" w:right="100"/>
              <w:jc w:val="both"/>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pacing w:val="-7"/>
                <w:sz w:val="24"/>
              </w:rPr>
              <w:t>名单、政府采购严重违法失信行为记录名单及其他重大违法记录且</w:t>
            </w:r>
          </w:p>
          <w:p w14:paraId="24775EB5">
            <w:pPr>
              <w:pStyle w:val="25"/>
              <w:spacing w:line="328" w:lineRule="auto"/>
              <w:ind w:left="107" w:leftChars="0" w:right="100" w:rightChars="0"/>
              <w:jc w:val="both"/>
              <w:rPr>
                <w:rFonts w:hint="eastAsia" w:asciiTheme="minorEastAsia" w:hAnsiTheme="minorEastAsia" w:eastAsiaTheme="minorEastAsia" w:cstheme="minorEastAsia"/>
                <w:color w:val="auto"/>
                <w:spacing w:val="-1"/>
                <w:sz w:val="24"/>
              </w:rPr>
            </w:pPr>
            <w:r>
              <w:rPr>
                <w:rFonts w:hint="eastAsia" w:asciiTheme="minorEastAsia" w:hAnsiTheme="minorEastAsia" w:eastAsiaTheme="minorEastAsia" w:cstheme="minorEastAsia"/>
                <w:color w:val="auto"/>
                <w:spacing w:val="-7"/>
                <w:sz w:val="24"/>
              </w:rPr>
              <w:t>相关信用惩戒期限未满的，其资格审查不合格。</w:t>
            </w:r>
          </w:p>
        </w:tc>
      </w:tr>
      <w:tr w14:paraId="45977A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7" w:hRule="atLeast"/>
        </w:trPr>
        <w:tc>
          <w:tcPr>
            <w:tcW w:w="604" w:type="dxa"/>
            <w:vAlign w:val="center"/>
          </w:tcPr>
          <w:p w14:paraId="258E799B">
            <w:pPr>
              <w:pStyle w:val="25"/>
              <w:spacing w:line="243" w:lineRule="exact"/>
              <w:ind w:left="2" w:leftChars="0" w:right="0" w:right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9</w:t>
            </w:r>
          </w:p>
        </w:tc>
        <w:tc>
          <w:tcPr>
            <w:tcW w:w="1422" w:type="dxa"/>
            <w:vAlign w:val="center"/>
          </w:tcPr>
          <w:p w14:paraId="1B0E96A5">
            <w:pPr>
              <w:pStyle w:val="25"/>
              <w:spacing w:before="56"/>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中小企业声</w:t>
            </w:r>
          </w:p>
          <w:p w14:paraId="3A89969B">
            <w:pPr>
              <w:pStyle w:val="25"/>
              <w:spacing w:before="43"/>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明函（以资</w:t>
            </w:r>
          </w:p>
          <w:p w14:paraId="6B66E67C">
            <w:pPr>
              <w:pStyle w:val="25"/>
              <w:spacing w:before="43" w:line="252" w:lineRule="exact"/>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格条件落实</w:t>
            </w:r>
          </w:p>
          <w:p w14:paraId="1FC87C43">
            <w:pPr>
              <w:pStyle w:val="25"/>
              <w:spacing w:before="147"/>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中小企业扶</w:t>
            </w:r>
          </w:p>
          <w:p w14:paraId="6A6C277D">
            <w:pPr>
              <w:pStyle w:val="25"/>
              <w:spacing w:before="56"/>
              <w:ind w:left="11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持政策时适</w:t>
            </w:r>
          </w:p>
          <w:p w14:paraId="4379981C">
            <w:pPr>
              <w:pStyle w:val="25"/>
              <w:spacing w:before="56"/>
              <w:ind w:left="411" w:leftChars="0" w:right="0" w:right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用 ）</w:t>
            </w:r>
          </w:p>
        </w:tc>
        <w:tc>
          <w:tcPr>
            <w:tcW w:w="7209" w:type="dxa"/>
            <w:vAlign w:val="top"/>
          </w:tcPr>
          <w:p w14:paraId="6A194DC1">
            <w:pPr>
              <w:pStyle w:val="25"/>
              <w:spacing w:line="328" w:lineRule="auto"/>
              <w:ind w:left="107" w:right="100"/>
              <w:jc w:val="both"/>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pacing w:val="-7"/>
                <w:sz w:val="24"/>
              </w:rPr>
              <w:t>①投标人应认真对照工信部联企业[2011]300 号《工业和信息化部、</w:t>
            </w:r>
          </w:p>
          <w:p w14:paraId="195F9774">
            <w:pPr>
              <w:pStyle w:val="25"/>
              <w:spacing w:line="328" w:lineRule="auto"/>
              <w:ind w:left="0" w:leftChars="0" w:right="100" w:rightChars="0"/>
              <w:jc w:val="both"/>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pacing w:val="-7"/>
                <w:sz w:val="24"/>
              </w:rPr>
              <w:t>国家统计局、国家发展和改革委员会、财政部关于印发中小企业划型标准规定的通知》规定的划分标准，并按照国统字[2017]213 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14:paraId="590AC7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7" w:hRule="atLeast"/>
        </w:trPr>
        <w:tc>
          <w:tcPr>
            <w:tcW w:w="604" w:type="dxa"/>
            <w:vAlign w:val="top"/>
          </w:tcPr>
          <w:p w14:paraId="0393C3C5">
            <w:pPr>
              <w:pStyle w:val="25"/>
              <w:rPr>
                <w:rFonts w:hint="eastAsia" w:asciiTheme="minorEastAsia" w:hAnsiTheme="minorEastAsia" w:eastAsiaTheme="minorEastAsia" w:cstheme="minorEastAsia"/>
                <w:b/>
                <w:color w:val="auto"/>
                <w:sz w:val="24"/>
              </w:rPr>
            </w:pPr>
          </w:p>
          <w:p w14:paraId="0FD43DDD">
            <w:pPr>
              <w:pStyle w:val="25"/>
              <w:spacing w:before="1"/>
              <w:rPr>
                <w:rFonts w:hint="eastAsia" w:asciiTheme="minorEastAsia" w:hAnsiTheme="minorEastAsia" w:eastAsiaTheme="minorEastAsia" w:cstheme="minorEastAsia"/>
                <w:b/>
                <w:color w:val="auto"/>
                <w:sz w:val="17"/>
              </w:rPr>
            </w:pPr>
          </w:p>
          <w:p w14:paraId="55F22826">
            <w:pPr>
              <w:pStyle w:val="25"/>
              <w:spacing w:before="1"/>
              <w:ind w:left="179" w:leftChars="0" w:right="0" w:rightChars="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10</w:t>
            </w:r>
          </w:p>
        </w:tc>
        <w:tc>
          <w:tcPr>
            <w:tcW w:w="1422" w:type="dxa"/>
            <w:vAlign w:val="top"/>
          </w:tcPr>
          <w:p w14:paraId="0FF3BD6E">
            <w:pPr>
              <w:pStyle w:val="25"/>
              <w:spacing w:before="12"/>
              <w:rPr>
                <w:rFonts w:hint="eastAsia" w:asciiTheme="minorEastAsia" w:hAnsiTheme="minorEastAsia" w:eastAsiaTheme="minorEastAsia" w:cstheme="minorEastAsia"/>
                <w:b/>
                <w:color w:val="auto"/>
                <w:sz w:val="23"/>
              </w:rPr>
            </w:pPr>
          </w:p>
          <w:p w14:paraId="2ECC1706">
            <w:pPr>
              <w:pStyle w:val="25"/>
              <w:ind w:left="91" w:right="86"/>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联合体协议</w:t>
            </w:r>
          </w:p>
          <w:p w14:paraId="3463B7B1">
            <w:pPr>
              <w:pStyle w:val="25"/>
              <w:spacing w:before="112"/>
              <w:ind w:left="108" w:leftChars="0" w:right="103" w:rightChars="0"/>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（若有）</w:t>
            </w:r>
          </w:p>
        </w:tc>
        <w:tc>
          <w:tcPr>
            <w:tcW w:w="7209" w:type="dxa"/>
            <w:vAlign w:val="top"/>
          </w:tcPr>
          <w:p w14:paraId="66856AD1">
            <w:pPr>
              <w:pStyle w:val="25"/>
              <w:spacing w:before="95" w:line="328" w:lineRule="auto"/>
              <w:ind w:left="107" w:right="10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①招标文件接受联合体投标且投标人为联合体的，投标人应提供本</w:t>
            </w:r>
            <w:r>
              <w:rPr>
                <w:rFonts w:hint="eastAsia" w:asciiTheme="minorEastAsia" w:hAnsiTheme="minorEastAsia" w:eastAsiaTheme="minorEastAsia" w:cstheme="minorEastAsia"/>
                <w:color w:val="auto"/>
                <w:spacing w:val="-11"/>
                <w:sz w:val="24"/>
              </w:rPr>
              <w:t>协议；否则无须提供。 ②本协议由委托代理人签字或盖章的，应按</w:t>
            </w:r>
          </w:p>
          <w:p w14:paraId="1469D610">
            <w:pPr>
              <w:pStyle w:val="25"/>
              <w:spacing w:line="301" w:lineRule="exact"/>
              <w:ind w:left="107" w:leftChars="0" w:right="0" w:rightChars="0"/>
              <w:rPr>
                <w:rFonts w:hint="eastAsia" w:asciiTheme="minorEastAsia" w:hAnsiTheme="minorEastAsia" w:eastAsiaTheme="minorEastAsia" w:cstheme="minorEastAsia"/>
                <w:color w:val="auto"/>
                <w:spacing w:val="-7"/>
                <w:sz w:val="24"/>
              </w:rPr>
            </w:pPr>
            <w:r>
              <w:rPr>
                <w:rFonts w:hint="eastAsia" w:asciiTheme="minorEastAsia" w:hAnsiTheme="minorEastAsia" w:eastAsiaTheme="minorEastAsia" w:cstheme="minorEastAsia"/>
                <w:color w:val="auto"/>
                <w:sz w:val="24"/>
              </w:rPr>
              <w:t>照招标文件第七章载明的格式提供“单位授权书”。</w:t>
            </w:r>
          </w:p>
        </w:tc>
      </w:tr>
    </w:tbl>
    <w:p w14:paraId="0CFFBE8B">
      <w:pPr>
        <w:pStyle w:val="6"/>
        <w:spacing w:before="96"/>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※备注说明</w:t>
      </w:r>
    </w:p>
    <w:p w14:paraId="60A11656">
      <w:pPr>
        <w:pStyle w:val="6"/>
        <w:spacing w:before="113"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5"/>
        </w:rPr>
        <w:t>①投标人应根据自身实际情况提供上述资格要求的证明材料，格式可参考招标文件</w:t>
      </w:r>
      <w:r>
        <w:rPr>
          <w:rFonts w:hint="eastAsia" w:asciiTheme="minorEastAsia" w:hAnsiTheme="minorEastAsia" w:eastAsiaTheme="minorEastAsia" w:cstheme="minorEastAsia"/>
          <w:color w:val="auto"/>
        </w:rPr>
        <w:t>第七章提供。</w:t>
      </w:r>
    </w:p>
    <w:p w14:paraId="75E6C923">
      <w:pPr>
        <w:pStyle w:val="6"/>
        <w:spacing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②投标人提供的相应证明材料复印件均应符合：内容完整、清晰、整洁，并由投标</w:t>
      </w:r>
      <w:r>
        <w:rPr>
          <w:rFonts w:hint="eastAsia" w:asciiTheme="minorEastAsia" w:hAnsiTheme="minorEastAsia" w:eastAsiaTheme="minorEastAsia" w:cstheme="minorEastAsia"/>
          <w:color w:val="auto"/>
        </w:rPr>
        <w:t>人加盖其单位公章。</w:t>
      </w:r>
    </w:p>
    <w:p w14:paraId="5149CE13">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②.其他资格证明文件：</w:t>
      </w:r>
    </w:p>
    <w:p w14:paraId="042FD9FE">
      <w:pPr>
        <w:pStyle w:val="4"/>
        <w:spacing w:before="110" w:after="16"/>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采购包 1：</w:t>
      </w:r>
    </w:p>
    <w:tbl>
      <w:tblPr>
        <w:tblStyle w:val="18"/>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993"/>
        <w:gridCol w:w="6243"/>
      </w:tblGrid>
      <w:tr w14:paraId="1D975B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2993" w:type="dxa"/>
          </w:tcPr>
          <w:p w14:paraId="172076C3">
            <w:pPr>
              <w:pStyle w:val="25"/>
              <w:spacing w:before="96" w:line="304" w:lineRule="exact"/>
              <w:ind w:left="535"/>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资格审查要求概况</w:t>
            </w:r>
          </w:p>
        </w:tc>
        <w:tc>
          <w:tcPr>
            <w:tcW w:w="6243" w:type="dxa"/>
          </w:tcPr>
          <w:p w14:paraId="34E1B54F">
            <w:pPr>
              <w:pStyle w:val="25"/>
              <w:spacing w:before="96" w:line="304" w:lineRule="exact"/>
              <w:ind w:left="2259" w:right="2258"/>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评审点具体描述</w:t>
            </w:r>
          </w:p>
        </w:tc>
      </w:tr>
      <w:tr w14:paraId="1AA612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0" w:hRule="atLeast"/>
        </w:trPr>
        <w:tc>
          <w:tcPr>
            <w:tcW w:w="2993" w:type="dxa"/>
          </w:tcPr>
          <w:p w14:paraId="5A8AD254">
            <w:pPr>
              <w:pStyle w:val="25"/>
              <w:spacing w:line="420" w:lineRule="exact"/>
              <w:ind w:left="115" w:hanging="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财务状况报告（财务报告、或资信证明、 或投标担保函）的补充（更正）说明</w:t>
            </w:r>
          </w:p>
        </w:tc>
        <w:tc>
          <w:tcPr>
            <w:tcW w:w="6243" w:type="dxa"/>
          </w:tcPr>
          <w:p w14:paraId="6346057C">
            <w:pPr>
              <w:pStyle w:val="25"/>
              <w:spacing w:line="420" w:lineRule="exact"/>
              <w:ind w:left="107" w:right="128"/>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投标人选择提供银行出具的资信证明的，若证明材料上体现“复印无效”，也视同有效。招标文件其他内容与本项要求不一致的，与本项为准。</w:t>
            </w:r>
          </w:p>
        </w:tc>
      </w:tr>
      <w:tr w14:paraId="4D7B45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0" w:hRule="atLeast"/>
        </w:trPr>
        <w:tc>
          <w:tcPr>
            <w:tcW w:w="2993" w:type="dxa"/>
            <w:vAlign w:val="top"/>
          </w:tcPr>
          <w:p w14:paraId="0370721B">
            <w:pPr>
              <w:pStyle w:val="25"/>
              <w:spacing w:line="420" w:lineRule="exact"/>
              <w:ind w:left="107" w:leftChars="0" w:right="101" w:rightChars="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3"/>
                <w:sz w:val="24"/>
              </w:rPr>
              <w:t>资格承诺函</w:t>
            </w:r>
          </w:p>
        </w:tc>
        <w:tc>
          <w:tcPr>
            <w:tcW w:w="6243" w:type="dxa"/>
            <w:vAlign w:val="top"/>
          </w:tcPr>
          <w:p w14:paraId="3FE50D94">
            <w:pPr>
              <w:pStyle w:val="25"/>
              <w:spacing w:line="420" w:lineRule="exact"/>
              <w:ind w:left="107" w:leftChars="0" w:right="101" w:rightChars="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3"/>
                <w:sz w:val="24"/>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bl>
    <w:p w14:paraId="5D701C77">
      <w:pPr>
        <w:pStyle w:val="4"/>
        <w:spacing w:before="110" w:after="16"/>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采购包 </w:t>
      </w:r>
      <w:r>
        <w:rPr>
          <w:rFonts w:hint="eastAsia" w:asciiTheme="minorEastAsia" w:hAnsiTheme="minorEastAsia" w:eastAsiaTheme="minorEastAsia" w:cstheme="minorEastAsia"/>
          <w:color w:val="auto"/>
          <w:lang w:val="en-US" w:eastAsia="zh-CN"/>
        </w:rPr>
        <w:t>2</w:t>
      </w:r>
      <w:r>
        <w:rPr>
          <w:rFonts w:hint="eastAsia" w:asciiTheme="minorEastAsia" w:hAnsiTheme="minorEastAsia" w:eastAsiaTheme="minorEastAsia" w:cstheme="minorEastAsia"/>
          <w:color w:val="auto"/>
        </w:rPr>
        <w:t>：</w:t>
      </w:r>
    </w:p>
    <w:tbl>
      <w:tblPr>
        <w:tblStyle w:val="18"/>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993"/>
        <w:gridCol w:w="6243"/>
      </w:tblGrid>
      <w:tr w14:paraId="158C42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2993" w:type="dxa"/>
          </w:tcPr>
          <w:p w14:paraId="120FB335">
            <w:pPr>
              <w:pStyle w:val="25"/>
              <w:spacing w:before="96" w:line="304" w:lineRule="exact"/>
              <w:ind w:left="535"/>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资格审查要求概况</w:t>
            </w:r>
          </w:p>
        </w:tc>
        <w:tc>
          <w:tcPr>
            <w:tcW w:w="6243" w:type="dxa"/>
          </w:tcPr>
          <w:p w14:paraId="501661E9">
            <w:pPr>
              <w:pStyle w:val="25"/>
              <w:spacing w:before="96" w:line="304" w:lineRule="exact"/>
              <w:ind w:left="2259" w:right="2258"/>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评审点具体描述</w:t>
            </w:r>
          </w:p>
        </w:tc>
      </w:tr>
      <w:tr w14:paraId="5E8656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0" w:hRule="atLeast"/>
        </w:trPr>
        <w:tc>
          <w:tcPr>
            <w:tcW w:w="2993" w:type="dxa"/>
          </w:tcPr>
          <w:p w14:paraId="14187C02">
            <w:pPr>
              <w:pStyle w:val="25"/>
              <w:spacing w:line="420" w:lineRule="exact"/>
              <w:ind w:left="115" w:hanging="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财务状况报告（财务报告、或资信证明、 或投标担保函）的补充（更正）说明</w:t>
            </w:r>
          </w:p>
        </w:tc>
        <w:tc>
          <w:tcPr>
            <w:tcW w:w="6243" w:type="dxa"/>
          </w:tcPr>
          <w:p w14:paraId="14594299">
            <w:pPr>
              <w:pStyle w:val="25"/>
              <w:spacing w:line="420" w:lineRule="exact"/>
              <w:ind w:left="107" w:right="128"/>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投标人选择提供银行出具的资信证明的，若证明材料上体现“复印无效”，也视同有效。招标文件其他内容与本项要求不一致的，与本项为准。</w:t>
            </w:r>
          </w:p>
        </w:tc>
      </w:tr>
      <w:tr w14:paraId="1875E9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0" w:hRule="atLeast"/>
        </w:trPr>
        <w:tc>
          <w:tcPr>
            <w:tcW w:w="2993" w:type="dxa"/>
            <w:vAlign w:val="top"/>
          </w:tcPr>
          <w:p w14:paraId="3783EBEC">
            <w:pPr>
              <w:pStyle w:val="25"/>
              <w:spacing w:line="420" w:lineRule="exact"/>
              <w:ind w:left="107" w:leftChars="0" w:right="101" w:rightChars="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3"/>
                <w:sz w:val="24"/>
              </w:rPr>
              <w:t>资格承诺函</w:t>
            </w:r>
          </w:p>
        </w:tc>
        <w:tc>
          <w:tcPr>
            <w:tcW w:w="6243" w:type="dxa"/>
            <w:vAlign w:val="top"/>
          </w:tcPr>
          <w:p w14:paraId="33963BDD">
            <w:pPr>
              <w:pStyle w:val="25"/>
              <w:spacing w:line="420" w:lineRule="exact"/>
              <w:ind w:left="107" w:leftChars="0" w:right="101" w:rightChars="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3"/>
                <w:sz w:val="24"/>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bl>
    <w:p w14:paraId="2767FCBA">
      <w:pPr>
        <w:pStyle w:val="24"/>
        <w:numPr>
          <w:ilvl w:val="0"/>
          <w:numId w:val="48"/>
        </w:numPr>
        <w:tabs>
          <w:tab w:val="left" w:pos="1301"/>
        </w:tabs>
        <w:spacing w:before="96"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投标保证金。</w:t>
      </w:r>
    </w:p>
    <w:p w14:paraId="048F5A97">
      <w:pPr>
        <w:pStyle w:val="24"/>
        <w:numPr>
          <w:ilvl w:val="1"/>
          <w:numId w:val="47"/>
        </w:numPr>
        <w:tabs>
          <w:tab w:val="left" w:pos="1063"/>
        </w:tabs>
        <w:spacing w:before="112" w:after="17"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有下列情形之一的，资格审查不合格：</w:t>
      </w:r>
    </w:p>
    <w:tbl>
      <w:tblPr>
        <w:tblStyle w:val="18"/>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242"/>
      </w:tblGrid>
      <w:tr w14:paraId="745708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20" w:hRule="atLeast"/>
        </w:trPr>
        <w:tc>
          <w:tcPr>
            <w:tcW w:w="9242" w:type="dxa"/>
          </w:tcPr>
          <w:p w14:paraId="1967C095">
            <w:pPr>
              <w:pStyle w:val="25"/>
              <w:spacing w:before="98" w:line="302" w:lineRule="exact"/>
              <w:ind w:left="4119" w:right="4117"/>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明细</w:t>
            </w:r>
          </w:p>
        </w:tc>
      </w:tr>
      <w:tr w14:paraId="6C8EE1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tcPr>
          <w:p w14:paraId="44FE09E9">
            <w:pPr>
              <w:pStyle w:val="25"/>
              <w:spacing w:before="98" w:line="302" w:lineRule="exact"/>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未按照招标文件规定提交投标函</w:t>
            </w:r>
          </w:p>
        </w:tc>
      </w:tr>
      <w:tr w14:paraId="14C0E7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tcPr>
          <w:p w14:paraId="7FA48F90">
            <w:pPr>
              <w:pStyle w:val="25"/>
              <w:spacing w:before="97" w:line="302" w:lineRule="exact"/>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未按照招标文件规定提交投标人的资格及资信文件</w:t>
            </w:r>
          </w:p>
        </w:tc>
      </w:tr>
      <w:tr w14:paraId="175B99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242" w:type="dxa"/>
          </w:tcPr>
          <w:p w14:paraId="726DD87C">
            <w:pPr>
              <w:pStyle w:val="25"/>
              <w:spacing w:before="97" w:line="302" w:lineRule="exact"/>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未按照招标文件规定提交投标保证金</w:t>
            </w:r>
          </w:p>
        </w:tc>
      </w:tr>
    </w:tbl>
    <w:p w14:paraId="0C3DFAE0">
      <w:pPr>
        <w:spacing w:before="97" w:line="328" w:lineRule="auto"/>
        <w:ind w:left="220" w:right="3095" w:firstLine="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color w:val="auto"/>
          <w:spacing w:val="-16"/>
          <w:sz w:val="24"/>
        </w:rPr>
        <w:t xml:space="preserve">采购包 </w:t>
      </w:r>
      <w:r>
        <w:rPr>
          <w:rFonts w:hint="eastAsia" w:asciiTheme="minorEastAsia" w:hAnsiTheme="minorEastAsia" w:eastAsiaTheme="minorEastAsia" w:cstheme="minorEastAsia"/>
          <w:b/>
          <w:color w:val="auto"/>
          <w:sz w:val="24"/>
        </w:rPr>
        <w:t>1</w:t>
      </w:r>
      <w:r>
        <w:rPr>
          <w:rFonts w:hint="eastAsia" w:asciiTheme="minorEastAsia" w:hAnsiTheme="minorEastAsia" w:eastAsiaTheme="minorEastAsia" w:cstheme="minorEastAsia"/>
          <w:b/>
          <w:color w:val="auto"/>
          <w:spacing w:val="-3"/>
          <w:sz w:val="24"/>
        </w:rPr>
        <w:t xml:space="preserve">： </w:t>
      </w:r>
      <w:r>
        <w:rPr>
          <w:rFonts w:hint="eastAsia" w:asciiTheme="minorEastAsia" w:hAnsiTheme="minorEastAsia" w:eastAsiaTheme="minorEastAsia" w:cstheme="minorEastAsia"/>
          <w:color w:val="auto"/>
          <w:sz w:val="24"/>
        </w:rPr>
        <w:t>资格审查不合格项：无；</w:t>
      </w:r>
    </w:p>
    <w:p w14:paraId="4DF5E107">
      <w:pPr>
        <w:spacing w:before="97" w:line="328" w:lineRule="auto"/>
        <w:ind w:left="220" w:right="3095" w:firstLine="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color w:val="auto"/>
          <w:spacing w:val="-16"/>
          <w:sz w:val="24"/>
        </w:rPr>
        <w:t xml:space="preserve">采购包 </w:t>
      </w:r>
      <w:r>
        <w:rPr>
          <w:rFonts w:hint="eastAsia" w:asciiTheme="minorEastAsia" w:hAnsiTheme="minorEastAsia" w:eastAsiaTheme="minorEastAsia" w:cstheme="minorEastAsia"/>
          <w:b/>
          <w:color w:val="auto"/>
          <w:sz w:val="24"/>
          <w:lang w:val="en-US" w:eastAsia="zh-CN"/>
        </w:rPr>
        <w:t>2</w:t>
      </w:r>
      <w:r>
        <w:rPr>
          <w:rFonts w:hint="eastAsia" w:asciiTheme="minorEastAsia" w:hAnsiTheme="minorEastAsia" w:eastAsiaTheme="minorEastAsia" w:cstheme="minorEastAsia"/>
          <w:b/>
          <w:color w:val="auto"/>
          <w:spacing w:val="-3"/>
          <w:sz w:val="24"/>
        </w:rPr>
        <w:t xml:space="preserve">： </w:t>
      </w:r>
      <w:r>
        <w:rPr>
          <w:rFonts w:hint="eastAsia" w:asciiTheme="minorEastAsia" w:hAnsiTheme="minorEastAsia" w:eastAsiaTheme="minorEastAsia" w:cstheme="minorEastAsia"/>
          <w:color w:val="auto"/>
          <w:sz w:val="24"/>
        </w:rPr>
        <w:t>资格审查不合格项：无；</w:t>
      </w:r>
    </w:p>
    <w:p w14:paraId="21EEE704">
      <w:pPr>
        <w:pStyle w:val="24"/>
        <w:numPr>
          <w:ilvl w:val="0"/>
          <w:numId w:val="0"/>
        </w:numPr>
        <w:tabs>
          <w:tab w:val="left" w:pos="1065"/>
        </w:tabs>
        <w:spacing w:before="0" w:after="0" w:line="328" w:lineRule="auto"/>
        <w:ind w:right="577" w:rightChars="0" w:firstLine="476" w:firstLineChars="20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lang w:val="en-US" w:eastAsia="zh-CN"/>
        </w:rPr>
        <w:t>1.5、</w:t>
      </w:r>
      <w:r>
        <w:rPr>
          <w:rFonts w:hint="eastAsia" w:asciiTheme="minorEastAsia" w:hAnsiTheme="minorEastAsia" w:eastAsiaTheme="minorEastAsia" w:cstheme="minorEastAsia"/>
          <w:color w:val="auto"/>
          <w:spacing w:val="-1"/>
          <w:sz w:val="24"/>
        </w:rPr>
        <w:t>若本项目接受联合体投标且投标人为联合体，联合体中有同类资质的供应商按</w:t>
      </w:r>
      <w:r>
        <w:rPr>
          <w:rFonts w:hint="eastAsia" w:asciiTheme="minorEastAsia" w:hAnsiTheme="minorEastAsia" w:eastAsiaTheme="minorEastAsia" w:cstheme="minorEastAsia"/>
          <w:color w:val="auto"/>
          <w:spacing w:val="-7"/>
          <w:sz w:val="24"/>
        </w:rPr>
        <w:t>照联合体分工承担相同工作的，应先按照资质等级较低的</w:t>
      </w:r>
      <w:r>
        <w:rPr>
          <w:rFonts w:hint="eastAsia" w:asciiTheme="minorEastAsia" w:hAnsiTheme="minorEastAsia" w:eastAsiaTheme="minorEastAsia" w:cstheme="minorEastAsia"/>
          <w:color w:val="auto"/>
          <w:spacing w:val="-7"/>
          <w:sz w:val="24"/>
          <w:lang w:eastAsia="zh-CN"/>
        </w:rPr>
        <w:t>投标人</w:t>
      </w:r>
      <w:r>
        <w:rPr>
          <w:rFonts w:hint="eastAsia" w:asciiTheme="minorEastAsia" w:hAnsiTheme="minorEastAsia" w:eastAsiaTheme="minorEastAsia" w:cstheme="minorEastAsia"/>
          <w:color w:val="auto"/>
          <w:spacing w:val="-7"/>
          <w:sz w:val="24"/>
        </w:rPr>
        <w:t>确定资质等级，再按照</w:t>
      </w:r>
      <w:r>
        <w:rPr>
          <w:rFonts w:hint="eastAsia" w:asciiTheme="minorEastAsia" w:hAnsiTheme="minorEastAsia" w:eastAsiaTheme="minorEastAsia" w:cstheme="minorEastAsia"/>
          <w:color w:val="auto"/>
          <w:spacing w:val="-16"/>
          <w:sz w:val="24"/>
        </w:rPr>
        <w:t xml:space="preserve">本章第 </w:t>
      </w:r>
      <w:r>
        <w:rPr>
          <w:rFonts w:hint="eastAsia" w:asciiTheme="minorEastAsia" w:hAnsiTheme="minorEastAsia" w:eastAsiaTheme="minorEastAsia" w:cstheme="minorEastAsia"/>
          <w:color w:val="auto"/>
          <w:sz w:val="24"/>
        </w:rPr>
        <w:t>1.2、1.3、1.4</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z w:val="24"/>
        </w:rPr>
        <w:t>条规定进行资格审查。</w:t>
      </w:r>
    </w:p>
    <w:p w14:paraId="12328660">
      <w:pPr>
        <w:pStyle w:val="6"/>
        <w:spacing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2、资格审查情况不得私自外泄，有关信息由</w:t>
      </w:r>
      <w:r>
        <w:rPr>
          <w:rFonts w:hint="eastAsia" w:asciiTheme="minorEastAsia" w:hAnsiTheme="minorEastAsia" w:eastAsiaTheme="minorEastAsia" w:cstheme="minorEastAsia"/>
          <w:color w:val="auto"/>
          <w:lang w:eastAsia="zh-CN"/>
        </w:rPr>
        <w:t>锐驰项目管理有限公司</w:t>
      </w:r>
      <w:r>
        <w:rPr>
          <w:rFonts w:hint="eastAsia" w:asciiTheme="minorEastAsia" w:hAnsiTheme="minorEastAsia" w:eastAsiaTheme="minorEastAsia" w:cstheme="minorEastAsia"/>
          <w:color w:val="auto"/>
        </w:rPr>
        <w:t>统一对外发布。</w:t>
      </w:r>
    </w:p>
    <w:p w14:paraId="725C1578">
      <w:pPr>
        <w:pStyle w:val="6"/>
        <w:spacing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w:t>
      </w:r>
      <w:r>
        <w:rPr>
          <w:rFonts w:hint="eastAsia" w:asciiTheme="minorEastAsia" w:hAnsiTheme="minorEastAsia" w:eastAsiaTheme="minorEastAsia" w:cstheme="minorEastAsia"/>
          <w:color w:val="auto"/>
          <w:spacing w:val="-1"/>
        </w:rPr>
        <w:t xml:space="preserve">、资格审查合格的投标人不足三家的，不进行评标。同时，本次采购活动结束， </w:t>
      </w:r>
      <w:r>
        <w:rPr>
          <w:rFonts w:hint="eastAsia" w:asciiTheme="minorEastAsia" w:hAnsiTheme="minorEastAsia" w:eastAsiaTheme="minorEastAsia" w:cstheme="minorEastAsia"/>
          <w:color w:val="auto"/>
          <w:spacing w:val="-2"/>
          <w:lang w:eastAsia="zh-CN"/>
        </w:rPr>
        <w:t>锐驰项目管理有限公司</w:t>
      </w:r>
      <w:r>
        <w:rPr>
          <w:rFonts w:hint="eastAsia" w:asciiTheme="minorEastAsia" w:hAnsiTheme="minorEastAsia" w:eastAsiaTheme="minorEastAsia" w:cstheme="minorEastAsia"/>
          <w:color w:val="auto"/>
          <w:spacing w:val="-2"/>
        </w:rPr>
        <w:t>将依法组织后续采购活动</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9"/>
        </w:rPr>
        <w:t>包括但不限于：重新招标、采用</w:t>
      </w:r>
      <w:r>
        <w:rPr>
          <w:rFonts w:hint="eastAsia" w:asciiTheme="minorEastAsia" w:hAnsiTheme="minorEastAsia" w:eastAsiaTheme="minorEastAsia" w:cstheme="minorEastAsia"/>
          <w:color w:val="auto"/>
        </w:rPr>
        <w:t>其他方式采购等）。</w:t>
      </w:r>
    </w:p>
    <w:p w14:paraId="0C9BE67F">
      <w:pPr>
        <w:pStyle w:val="4"/>
        <w:spacing w:before="39"/>
        <w:jc w:val="center"/>
        <w:rPr>
          <w:rFonts w:hint="eastAsia" w:asciiTheme="minorEastAsia" w:hAnsiTheme="minorEastAsia" w:eastAsiaTheme="minorEastAsia" w:cstheme="minorEastAsia"/>
          <w:color w:val="auto"/>
        </w:rPr>
      </w:pPr>
      <w:bookmarkStart w:id="34" w:name="二、评标"/>
      <w:bookmarkEnd w:id="34"/>
      <w:r>
        <w:rPr>
          <w:rFonts w:hint="eastAsia" w:asciiTheme="minorEastAsia" w:hAnsiTheme="minorEastAsia" w:eastAsiaTheme="minorEastAsia" w:cstheme="minorEastAsia"/>
          <w:color w:val="auto"/>
        </w:rPr>
        <w:t>二、评标</w:t>
      </w:r>
    </w:p>
    <w:p w14:paraId="19B38F15">
      <w:pPr>
        <w:pStyle w:val="6"/>
        <w:spacing w:before="112"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4、资格审查结束后，由</w:t>
      </w:r>
      <w:r>
        <w:rPr>
          <w:rFonts w:hint="eastAsia" w:asciiTheme="minorEastAsia" w:hAnsiTheme="minorEastAsia" w:eastAsiaTheme="minorEastAsia" w:cstheme="minorEastAsia"/>
          <w:color w:val="auto"/>
          <w:lang w:eastAsia="zh-CN"/>
        </w:rPr>
        <w:t>锐驰项目管理有限公司</w:t>
      </w:r>
      <w:r>
        <w:rPr>
          <w:rFonts w:hint="eastAsia" w:asciiTheme="minorEastAsia" w:hAnsiTheme="minorEastAsia" w:eastAsiaTheme="minorEastAsia" w:cstheme="minorEastAsia"/>
          <w:color w:val="auto"/>
        </w:rPr>
        <w:t>负责评标委员会的组建及评标工作的组织。</w:t>
      </w:r>
    </w:p>
    <w:p w14:paraId="4E1E7815">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5、评标委员会</w:t>
      </w:r>
    </w:p>
    <w:p w14:paraId="0364CBCE">
      <w:pPr>
        <w:pStyle w:val="6"/>
        <w:spacing w:before="113"/>
        <w:ind w:firstLine="480" w:firstLine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 xml:space="preserve">5.1 </w:t>
      </w:r>
      <w:r>
        <w:rPr>
          <w:rFonts w:hint="eastAsia" w:asciiTheme="minorEastAsia" w:hAnsiTheme="minorEastAsia" w:eastAsiaTheme="minorEastAsia" w:cstheme="minorEastAsia"/>
          <w:color w:val="auto"/>
          <w:highlight w:val="none"/>
        </w:rPr>
        <w:t>由福建省政府采购评审专家库产生的评审专家共</w:t>
      </w:r>
      <w:r>
        <w:rPr>
          <w:rFonts w:hint="eastAsia" w:asciiTheme="minorEastAsia" w:hAnsiTheme="minorEastAsia" w:eastAsiaTheme="minorEastAsia" w:cstheme="minorEastAsia"/>
          <w:color w:val="auto"/>
          <w:highlight w:val="none"/>
          <w:lang w:val="en-US" w:eastAsia="zh-CN"/>
        </w:rPr>
        <w:t>7</w:t>
      </w:r>
      <w:r>
        <w:rPr>
          <w:rFonts w:hint="eastAsia" w:asciiTheme="minorEastAsia" w:hAnsiTheme="minorEastAsia" w:eastAsiaTheme="minorEastAsia" w:cstheme="minorEastAsia"/>
          <w:color w:val="auto"/>
          <w:highlight w:val="none"/>
        </w:rPr>
        <w:t>人组成。</w:t>
      </w:r>
    </w:p>
    <w:p w14:paraId="64F2575A">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5.2 评标委员会负责具体评标事务，并按照下列原则依法独立履行有关职责：</w:t>
      </w:r>
    </w:p>
    <w:p w14:paraId="75A14DB9">
      <w:pPr>
        <w:pStyle w:val="24"/>
        <w:numPr>
          <w:ilvl w:val="0"/>
          <w:numId w:val="49"/>
        </w:numPr>
        <w:tabs>
          <w:tab w:val="left" w:pos="1301"/>
        </w:tabs>
        <w:spacing w:before="112" w:after="0" w:line="328" w:lineRule="auto"/>
        <w:ind w:left="220" w:right="45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rPr>
        <w:t>评标应保护国家利益、社会公共利益和各方当事人合法权益，提高采购效益</w:t>
      </w:r>
      <w:r>
        <w:rPr>
          <w:rFonts w:hint="eastAsia" w:asciiTheme="minorEastAsia" w:hAnsiTheme="minorEastAsia" w:eastAsiaTheme="minorEastAsia" w:cstheme="minorEastAsia"/>
          <w:color w:val="auto"/>
          <w:spacing w:val="-4"/>
          <w:sz w:val="24"/>
        </w:rPr>
        <w:t>，保证项目质量。</w:t>
      </w:r>
    </w:p>
    <w:p w14:paraId="4D80E5BC">
      <w:pPr>
        <w:pStyle w:val="24"/>
        <w:numPr>
          <w:ilvl w:val="0"/>
          <w:numId w:val="49"/>
        </w:numPr>
        <w:tabs>
          <w:tab w:val="left" w:pos="1301"/>
        </w:tabs>
        <w:spacing w:before="0" w:after="0" w:line="305" w:lineRule="exact"/>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评标应遵循公平、公正、科学、严谨和择优原则。</w:t>
      </w:r>
    </w:p>
    <w:p w14:paraId="0C8BFE25">
      <w:pPr>
        <w:pStyle w:val="24"/>
        <w:numPr>
          <w:ilvl w:val="0"/>
          <w:numId w:val="49"/>
        </w:numPr>
        <w:tabs>
          <w:tab w:val="left" w:pos="1301"/>
        </w:tabs>
        <w:spacing w:before="113"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评标的依据是招标文件和投标文件。</w:t>
      </w:r>
    </w:p>
    <w:p w14:paraId="7861EC4C">
      <w:pPr>
        <w:pStyle w:val="24"/>
        <w:numPr>
          <w:ilvl w:val="0"/>
          <w:numId w:val="49"/>
        </w:numPr>
        <w:tabs>
          <w:tab w:val="left" w:pos="1301"/>
        </w:tabs>
        <w:spacing w:before="112"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应按照招标文件规定推荐中标候选人或确定中标人。</w:t>
      </w:r>
    </w:p>
    <w:p w14:paraId="4FC28084">
      <w:pPr>
        <w:pStyle w:val="24"/>
        <w:numPr>
          <w:ilvl w:val="0"/>
          <w:numId w:val="49"/>
        </w:numPr>
        <w:tabs>
          <w:tab w:val="left" w:pos="1301"/>
        </w:tabs>
        <w:spacing w:before="113"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评标应遵守下列评标纪律：</w:t>
      </w:r>
    </w:p>
    <w:p w14:paraId="632FB992">
      <w:pPr>
        <w:pStyle w:val="6"/>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①评标情况不得私自外泄，有关信息由</w:t>
      </w:r>
      <w:r>
        <w:rPr>
          <w:rFonts w:hint="eastAsia" w:asciiTheme="minorEastAsia" w:hAnsiTheme="minorEastAsia" w:eastAsiaTheme="minorEastAsia" w:cstheme="minorEastAsia"/>
          <w:color w:val="auto"/>
          <w:lang w:eastAsia="zh-CN"/>
        </w:rPr>
        <w:t>锐驰项目管理有限公司</w:t>
      </w:r>
      <w:r>
        <w:rPr>
          <w:rFonts w:hint="eastAsia" w:asciiTheme="minorEastAsia" w:hAnsiTheme="minorEastAsia" w:eastAsiaTheme="minorEastAsia" w:cstheme="minorEastAsia"/>
          <w:color w:val="auto"/>
        </w:rPr>
        <w:t>统一对外发布。</w:t>
      </w:r>
    </w:p>
    <w:p w14:paraId="12808DE5">
      <w:pPr>
        <w:pStyle w:val="6"/>
        <w:spacing w:before="113"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5"/>
        </w:rPr>
        <w:t>②对</w:t>
      </w:r>
      <w:r>
        <w:rPr>
          <w:rFonts w:hint="eastAsia" w:asciiTheme="minorEastAsia" w:hAnsiTheme="minorEastAsia" w:eastAsiaTheme="minorEastAsia" w:cstheme="minorEastAsia"/>
          <w:color w:val="auto"/>
          <w:spacing w:val="-5"/>
          <w:lang w:eastAsia="zh-CN"/>
        </w:rPr>
        <w:t>锐驰项目管理有限公司</w:t>
      </w:r>
      <w:r>
        <w:rPr>
          <w:rFonts w:hint="eastAsia" w:asciiTheme="minorEastAsia" w:hAnsiTheme="minorEastAsia" w:eastAsiaTheme="minorEastAsia" w:cstheme="minorEastAsia"/>
          <w:color w:val="auto"/>
          <w:spacing w:val="-5"/>
        </w:rPr>
        <w:t>或投标人提供的要求保密的资料，不得摘记翻印和</w:t>
      </w:r>
      <w:r>
        <w:rPr>
          <w:rFonts w:hint="eastAsia" w:asciiTheme="minorEastAsia" w:hAnsiTheme="minorEastAsia" w:eastAsiaTheme="minorEastAsia" w:cstheme="minorEastAsia"/>
          <w:color w:val="auto"/>
        </w:rPr>
        <w:t>外传。</w:t>
      </w:r>
    </w:p>
    <w:p w14:paraId="239E7D76">
      <w:pPr>
        <w:pStyle w:val="6"/>
        <w:spacing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③不得收受投标人或有关人员的任何礼物，不得串联鼓动其他人袒护某投标人。若</w:t>
      </w:r>
      <w:r>
        <w:rPr>
          <w:rFonts w:hint="eastAsia" w:asciiTheme="minorEastAsia" w:hAnsiTheme="minorEastAsia" w:eastAsiaTheme="minorEastAsia" w:cstheme="minorEastAsia"/>
          <w:color w:val="auto"/>
        </w:rPr>
        <w:t>与投标人存在利害关系，则应主动声明并回避。</w:t>
      </w:r>
    </w:p>
    <w:p w14:paraId="3BA6E6C7">
      <w:pPr>
        <w:pStyle w:val="6"/>
        <w:spacing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④全体评委应按照招标文件规定进行评标，一切认定事项应查有实据且不得弄虚作</w:t>
      </w:r>
      <w:r>
        <w:rPr>
          <w:rFonts w:hint="eastAsia" w:asciiTheme="minorEastAsia" w:hAnsiTheme="minorEastAsia" w:eastAsiaTheme="minorEastAsia" w:cstheme="minorEastAsia"/>
          <w:color w:val="auto"/>
        </w:rPr>
        <w:t>假。</w:t>
      </w:r>
    </w:p>
    <w:p w14:paraId="304F5011">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⑤评标中应充分发扬民主，推荐中标候选人或确定中标人后要服从评标报告。</w:t>
      </w:r>
    </w:p>
    <w:p w14:paraId="78EC20E1">
      <w:pPr>
        <w:pStyle w:val="6"/>
        <w:spacing w:before="107"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7"/>
        </w:rPr>
        <w:t>※对违反评标纪律的评委，将取消其评委资格，对评标工作造成严重损失者将予以</w:t>
      </w:r>
      <w:r>
        <w:rPr>
          <w:rFonts w:hint="eastAsia" w:asciiTheme="minorEastAsia" w:hAnsiTheme="minorEastAsia" w:eastAsiaTheme="minorEastAsia" w:cstheme="minorEastAsia"/>
          <w:color w:val="auto"/>
        </w:rPr>
        <w:t>通报批评乃至追究法律责任。</w:t>
      </w:r>
    </w:p>
    <w:p w14:paraId="11831892">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6、评标程序</w:t>
      </w:r>
    </w:p>
    <w:p w14:paraId="71DF08B5">
      <w:pPr>
        <w:pStyle w:val="24"/>
        <w:numPr>
          <w:ilvl w:val="1"/>
          <w:numId w:val="50"/>
        </w:numPr>
        <w:tabs>
          <w:tab w:val="left" w:pos="1063"/>
        </w:tabs>
        <w:spacing w:before="113"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评标前的准备工作</w:t>
      </w:r>
    </w:p>
    <w:p w14:paraId="2442320E">
      <w:pPr>
        <w:pStyle w:val="24"/>
        <w:numPr>
          <w:ilvl w:val="0"/>
          <w:numId w:val="51"/>
        </w:numPr>
        <w:tabs>
          <w:tab w:val="left" w:pos="1304"/>
        </w:tabs>
        <w:spacing w:before="112" w:after="0" w:line="328"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全体评委应认真审阅招标文件，了解评委应履行或遵守的职责、义务和评标</w:t>
      </w:r>
      <w:r>
        <w:rPr>
          <w:rFonts w:hint="eastAsia" w:asciiTheme="minorEastAsia" w:hAnsiTheme="minorEastAsia" w:eastAsiaTheme="minorEastAsia" w:cstheme="minorEastAsia"/>
          <w:color w:val="auto"/>
          <w:sz w:val="24"/>
        </w:rPr>
        <w:t>纪律。</w:t>
      </w:r>
    </w:p>
    <w:p w14:paraId="7BB4A400">
      <w:pPr>
        <w:pStyle w:val="24"/>
        <w:numPr>
          <w:ilvl w:val="0"/>
          <w:numId w:val="51"/>
        </w:numPr>
        <w:tabs>
          <w:tab w:val="left" w:pos="1304"/>
        </w:tabs>
        <w:spacing w:before="0"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参加评标委员会的采购人代表可对本项目的背景和采购需求进行介绍，介绍</w:t>
      </w:r>
      <w:r>
        <w:rPr>
          <w:rFonts w:hint="eastAsia" w:asciiTheme="minorEastAsia" w:hAnsiTheme="minorEastAsia" w:eastAsiaTheme="minorEastAsia" w:cstheme="minorEastAsia"/>
          <w:color w:val="auto"/>
          <w:spacing w:val="-3"/>
          <w:sz w:val="24"/>
        </w:rPr>
        <w:t>材料应以书面形式提交</w:t>
      </w:r>
      <w:r>
        <w:rPr>
          <w:rFonts w:hint="eastAsia" w:asciiTheme="minorEastAsia" w:hAnsiTheme="minorEastAsia" w:eastAsiaTheme="minorEastAsia" w:cstheme="minorEastAsia"/>
          <w:color w:val="auto"/>
          <w:sz w:val="24"/>
        </w:rPr>
        <w:t>（随采购文件一并存档</w:t>
      </w:r>
      <w:r>
        <w:rPr>
          <w:rFonts w:hint="eastAsia" w:asciiTheme="minorEastAsia" w:hAnsiTheme="minorEastAsia" w:eastAsiaTheme="minorEastAsia" w:cstheme="minorEastAsia"/>
          <w:color w:val="auto"/>
          <w:spacing w:val="-24"/>
          <w:sz w:val="24"/>
        </w:rPr>
        <w:t>），</w:t>
      </w:r>
      <w:r>
        <w:rPr>
          <w:rFonts w:hint="eastAsia" w:asciiTheme="minorEastAsia" w:hAnsiTheme="minorEastAsia" w:eastAsiaTheme="minorEastAsia" w:cstheme="minorEastAsia"/>
          <w:color w:val="auto"/>
          <w:spacing w:val="-3"/>
          <w:sz w:val="24"/>
        </w:rPr>
        <w:t>介绍内容不得含有歧视性、倾向性意</w:t>
      </w:r>
      <w:r>
        <w:rPr>
          <w:rFonts w:hint="eastAsia" w:asciiTheme="minorEastAsia" w:hAnsiTheme="minorEastAsia" w:eastAsiaTheme="minorEastAsia" w:cstheme="minorEastAsia"/>
          <w:color w:val="auto"/>
          <w:sz w:val="24"/>
        </w:rPr>
        <w:t>见，不得超出招标文件所述范围。</w:t>
      </w:r>
    </w:p>
    <w:p w14:paraId="6A0F1C6D">
      <w:pPr>
        <w:pStyle w:val="24"/>
        <w:numPr>
          <w:ilvl w:val="1"/>
          <w:numId w:val="50"/>
        </w:numPr>
        <w:tabs>
          <w:tab w:val="left" w:pos="1063"/>
        </w:tabs>
        <w:spacing w:before="0" w:after="0" w:line="304" w:lineRule="exact"/>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符合性审查</w:t>
      </w:r>
    </w:p>
    <w:p w14:paraId="5C5F209B">
      <w:pPr>
        <w:pStyle w:val="24"/>
        <w:numPr>
          <w:ilvl w:val="0"/>
          <w:numId w:val="52"/>
        </w:numPr>
        <w:tabs>
          <w:tab w:val="left" w:pos="1304"/>
        </w:tabs>
        <w:spacing w:before="110" w:after="0" w:line="328"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评标委员会依据招标文件的实质性要求，对通过资格审查的投标文件进行符</w:t>
      </w:r>
      <w:r>
        <w:rPr>
          <w:rFonts w:hint="eastAsia" w:asciiTheme="minorEastAsia" w:hAnsiTheme="minorEastAsia" w:eastAsiaTheme="minorEastAsia" w:cstheme="minorEastAsia"/>
          <w:color w:val="auto"/>
          <w:sz w:val="24"/>
        </w:rPr>
        <w:t>合性审查，以确定其是否满足招标文件的实质性要求。</w:t>
      </w:r>
    </w:p>
    <w:p w14:paraId="205B43AD">
      <w:pPr>
        <w:pStyle w:val="24"/>
        <w:numPr>
          <w:ilvl w:val="0"/>
          <w:numId w:val="52"/>
        </w:numPr>
        <w:tabs>
          <w:tab w:val="left" w:pos="1304"/>
        </w:tabs>
        <w:spacing w:before="39" w:after="0" w:line="328" w:lineRule="auto"/>
        <w:ind w:left="220" w:right="580"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满足招标文件的实质性要求指投标文件对招标文件实质性要求的响应不存在</w:t>
      </w:r>
      <w:r>
        <w:rPr>
          <w:rFonts w:hint="eastAsia" w:asciiTheme="minorEastAsia" w:hAnsiTheme="minorEastAsia" w:eastAsiaTheme="minorEastAsia" w:cstheme="minorEastAsia"/>
          <w:color w:val="auto"/>
          <w:sz w:val="24"/>
        </w:rPr>
        <w:t>重大偏差或保留。</w:t>
      </w:r>
    </w:p>
    <w:p w14:paraId="65562CA7">
      <w:pPr>
        <w:pStyle w:val="24"/>
        <w:numPr>
          <w:ilvl w:val="0"/>
          <w:numId w:val="52"/>
        </w:numPr>
        <w:tabs>
          <w:tab w:val="left" w:pos="1304"/>
        </w:tabs>
        <w:spacing w:before="0"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重大偏差或保留指影响到招标文件规定的合同范围、合同履行及影响关键质</w:t>
      </w:r>
      <w:r>
        <w:rPr>
          <w:rFonts w:hint="eastAsia" w:asciiTheme="minorEastAsia" w:hAnsiTheme="minorEastAsia" w:eastAsiaTheme="minorEastAsia" w:cstheme="minorEastAsia"/>
          <w:color w:val="auto"/>
          <w:spacing w:val="-10"/>
          <w:sz w:val="24"/>
        </w:rPr>
        <w:t>量和性能，或限制了采购人的权利，或反对、减少投标人的义务，而纠正这些重大偏差</w:t>
      </w:r>
      <w:r>
        <w:rPr>
          <w:rFonts w:hint="eastAsia" w:asciiTheme="minorEastAsia" w:hAnsiTheme="minorEastAsia" w:eastAsiaTheme="minorEastAsia" w:cstheme="minorEastAsia"/>
          <w:color w:val="auto"/>
          <w:sz w:val="24"/>
        </w:rPr>
        <w:t>或保留将影响到其他提交实质性响应投标的投标人的公平竞争地位。</w:t>
      </w:r>
    </w:p>
    <w:p w14:paraId="4B905734">
      <w:pPr>
        <w:pStyle w:val="24"/>
        <w:numPr>
          <w:ilvl w:val="0"/>
          <w:numId w:val="52"/>
        </w:numPr>
        <w:tabs>
          <w:tab w:val="left" w:pos="1304"/>
        </w:tabs>
        <w:spacing w:before="0"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评标委员会审查判断投标文件是否满足招标文件的实质性要求仅基于投标文</w:t>
      </w:r>
      <w:r>
        <w:rPr>
          <w:rFonts w:hint="eastAsia" w:asciiTheme="minorEastAsia" w:hAnsiTheme="minorEastAsia" w:eastAsiaTheme="minorEastAsia" w:cstheme="minorEastAsia"/>
          <w:color w:val="auto"/>
          <w:spacing w:val="-8"/>
          <w:sz w:val="24"/>
        </w:rPr>
        <w:t>件本身而不寻求其他的外部证据。未满足招标文件实质性要求的投标文件将被评标委员</w:t>
      </w:r>
      <w:r>
        <w:rPr>
          <w:rFonts w:hint="eastAsia" w:asciiTheme="minorEastAsia" w:hAnsiTheme="minorEastAsia" w:eastAsiaTheme="minorEastAsia" w:cstheme="minorEastAsia"/>
          <w:color w:val="auto"/>
          <w:spacing w:val="-5"/>
          <w:sz w:val="24"/>
        </w:rPr>
        <w:t>会否决</w:t>
      </w:r>
      <w:r>
        <w:rPr>
          <w:rFonts w:hint="eastAsia" w:asciiTheme="minorEastAsia" w:hAnsiTheme="minorEastAsia" w:eastAsiaTheme="minorEastAsia" w:cstheme="minorEastAsia"/>
          <w:color w:val="auto"/>
          <w:spacing w:val="-3"/>
          <w:sz w:val="24"/>
        </w:rPr>
        <w:t>（</w:t>
      </w:r>
      <w:r>
        <w:rPr>
          <w:rFonts w:hint="eastAsia" w:asciiTheme="minorEastAsia" w:hAnsiTheme="minorEastAsia" w:eastAsiaTheme="minorEastAsia" w:cstheme="minorEastAsia"/>
          <w:color w:val="auto"/>
          <w:sz w:val="24"/>
        </w:rPr>
        <w:t>即符合性审查不合格</w:t>
      </w:r>
      <w:r>
        <w:rPr>
          <w:rFonts w:hint="eastAsia" w:asciiTheme="minorEastAsia" w:hAnsiTheme="minorEastAsia" w:eastAsiaTheme="minorEastAsia" w:cstheme="minorEastAsia"/>
          <w:color w:val="auto"/>
          <w:spacing w:val="-16"/>
          <w:sz w:val="24"/>
        </w:rPr>
        <w:t>）</w:t>
      </w:r>
      <w:r>
        <w:rPr>
          <w:rFonts w:hint="eastAsia" w:asciiTheme="minorEastAsia" w:hAnsiTheme="minorEastAsia" w:eastAsiaTheme="minorEastAsia" w:cstheme="minorEastAsia"/>
          <w:color w:val="auto"/>
          <w:spacing w:val="-6"/>
          <w:sz w:val="24"/>
        </w:rPr>
        <w:t>，被否决的投标文件不能通过补充、修改</w:t>
      </w:r>
      <w:r>
        <w:rPr>
          <w:rFonts w:hint="eastAsia" w:asciiTheme="minorEastAsia" w:hAnsiTheme="minorEastAsia" w:eastAsiaTheme="minorEastAsia" w:cstheme="minorEastAsia"/>
          <w:color w:val="auto"/>
          <w:sz w:val="24"/>
        </w:rPr>
        <w:t>（</w:t>
      </w:r>
      <w:r>
        <w:rPr>
          <w:rFonts w:hint="eastAsia" w:asciiTheme="minorEastAsia" w:hAnsiTheme="minorEastAsia" w:eastAsiaTheme="minorEastAsia" w:cstheme="minorEastAsia"/>
          <w:color w:val="auto"/>
          <w:spacing w:val="-7"/>
          <w:sz w:val="24"/>
        </w:rPr>
        <w:t>澄清、说明</w:t>
      </w:r>
      <w:r>
        <w:rPr>
          <w:rFonts w:hint="eastAsia" w:asciiTheme="minorEastAsia" w:hAnsiTheme="minorEastAsia" w:eastAsiaTheme="minorEastAsia" w:cstheme="minorEastAsia"/>
          <w:color w:val="auto"/>
          <w:sz w:val="24"/>
        </w:rPr>
        <w:t>或补正）等方式重新成为满足招标文件实质性要求的投标文件。</w:t>
      </w:r>
    </w:p>
    <w:p w14:paraId="24E54D8A">
      <w:pPr>
        <w:pStyle w:val="24"/>
        <w:numPr>
          <w:ilvl w:val="0"/>
          <w:numId w:val="52"/>
        </w:numPr>
        <w:tabs>
          <w:tab w:val="left" w:pos="1301"/>
        </w:tabs>
        <w:spacing w:before="0" w:after="0" w:line="302" w:lineRule="exact"/>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评标委员会对所有投标人都执行相同的程序和标准。</w:t>
      </w:r>
    </w:p>
    <w:p w14:paraId="021D2C9F">
      <w:pPr>
        <w:pStyle w:val="24"/>
        <w:numPr>
          <w:ilvl w:val="0"/>
          <w:numId w:val="52"/>
        </w:numPr>
        <w:tabs>
          <w:tab w:val="left" w:pos="1301"/>
        </w:tabs>
        <w:spacing w:before="106"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有下列情形之一的，符合性审查不合格：</w:t>
      </w:r>
    </w:p>
    <w:p w14:paraId="51F7DEDF">
      <w:pPr>
        <w:pStyle w:val="6"/>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①项目一般情形：</w:t>
      </w:r>
    </w:p>
    <w:p w14:paraId="223A578F">
      <w:pPr>
        <w:pStyle w:val="4"/>
        <w:spacing w:before="113" w:after="16"/>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采购包 1：</w:t>
      </w:r>
    </w:p>
    <w:tbl>
      <w:tblPr>
        <w:tblStyle w:val="18"/>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03"/>
        <w:gridCol w:w="2312"/>
        <w:gridCol w:w="6020"/>
      </w:tblGrid>
      <w:tr w14:paraId="7ED501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03" w:type="dxa"/>
          </w:tcPr>
          <w:p w14:paraId="3167D6E2">
            <w:pPr>
              <w:pStyle w:val="25"/>
              <w:spacing w:before="97" w:line="303" w:lineRule="exact"/>
              <w:ind w:right="309"/>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序号</w:t>
            </w:r>
          </w:p>
        </w:tc>
        <w:tc>
          <w:tcPr>
            <w:tcW w:w="2312" w:type="dxa"/>
          </w:tcPr>
          <w:p w14:paraId="5C2F0197">
            <w:pPr>
              <w:pStyle w:val="25"/>
              <w:spacing w:before="97" w:line="303" w:lineRule="exact"/>
              <w:ind w:right="13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符合审查要求概况</w:t>
            </w:r>
          </w:p>
        </w:tc>
        <w:tc>
          <w:tcPr>
            <w:tcW w:w="6020" w:type="dxa"/>
          </w:tcPr>
          <w:p w14:paraId="1791ECA5">
            <w:pPr>
              <w:pStyle w:val="25"/>
              <w:spacing w:before="97" w:line="303" w:lineRule="exact"/>
              <w:ind w:right="2063"/>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评审点具体描述</w:t>
            </w:r>
          </w:p>
        </w:tc>
      </w:tr>
      <w:tr w14:paraId="223E7E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03" w:type="dxa"/>
            <w:vAlign w:val="center"/>
          </w:tcPr>
          <w:p w14:paraId="24B41872">
            <w:pPr>
              <w:pStyle w:val="25"/>
              <w:spacing w:before="108" w:line="292" w:lineRule="exact"/>
              <w:ind w:left="5"/>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2312" w:type="dxa"/>
            <w:vAlign w:val="center"/>
          </w:tcPr>
          <w:p w14:paraId="7C8328D7">
            <w:pPr>
              <w:pStyle w:val="25"/>
              <w:spacing w:before="96" w:line="303" w:lineRule="exact"/>
              <w:ind w:left="136" w:right="13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情形 1</w:t>
            </w:r>
          </w:p>
        </w:tc>
        <w:tc>
          <w:tcPr>
            <w:tcW w:w="6020" w:type="dxa"/>
          </w:tcPr>
          <w:p w14:paraId="168C6EFA">
            <w:pPr>
              <w:pStyle w:val="25"/>
              <w:spacing w:before="96" w:line="303" w:lineRule="exact"/>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违反招标文件中载明“投标无效”条款的规定；</w:t>
            </w:r>
          </w:p>
        </w:tc>
      </w:tr>
      <w:tr w14:paraId="036147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03" w:type="dxa"/>
            <w:vAlign w:val="center"/>
          </w:tcPr>
          <w:p w14:paraId="6E117860">
            <w:pPr>
              <w:pStyle w:val="25"/>
              <w:spacing w:before="108" w:line="292" w:lineRule="exact"/>
              <w:ind w:left="5"/>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w:t>
            </w:r>
          </w:p>
        </w:tc>
        <w:tc>
          <w:tcPr>
            <w:tcW w:w="2312" w:type="dxa"/>
            <w:vAlign w:val="center"/>
          </w:tcPr>
          <w:p w14:paraId="10E30F2B">
            <w:pPr>
              <w:pStyle w:val="25"/>
              <w:spacing w:before="96" w:line="304" w:lineRule="exact"/>
              <w:ind w:left="136" w:right="13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情形 2</w:t>
            </w:r>
          </w:p>
        </w:tc>
        <w:tc>
          <w:tcPr>
            <w:tcW w:w="6020" w:type="dxa"/>
          </w:tcPr>
          <w:p w14:paraId="2B5C7E2E">
            <w:pPr>
              <w:pStyle w:val="25"/>
              <w:spacing w:before="96" w:line="304" w:lineRule="exact"/>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rPr>
              <w:t xml:space="preserve">属于招标文件第三章第 </w:t>
            </w:r>
            <w:r>
              <w:rPr>
                <w:rFonts w:hint="eastAsia" w:asciiTheme="minorEastAsia" w:hAnsiTheme="minorEastAsia" w:eastAsiaTheme="minorEastAsia" w:cstheme="minorEastAsia"/>
                <w:color w:val="auto"/>
                <w:sz w:val="24"/>
              </w:rPr>
              <w:t>10.12 条规定的投标无效情形；</w:t>
            </w:r>
          </w:p>
        </w:tc>
      </w:tr>
      <w:tr w14:paraId="164A24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0" w:hRule="atLeast"/>
        </w:trPr>
        <w:tc>
          <w:tcPr>
            <w:tcW w:w="903" w:type="dxa"/>
            <w:vAlign w:val="center"/>
          </w:tcPr>
          <w:p w14:paraId="11711892">
            <w:pPr>
              <w:pStyle w:val="25"/>
              <w:ind w:left="5"/>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w:t>
            </w:r>
          </w:p>
        </w:tc>
        <w:tc>
          <w:tcPr>
            <w:tcW w:w="2312" w:type="dxa"/>
            <w:vAlign w:val="center"/>
          </w:tcPr>
          <w:p w14:paraId="69C9699F">
            <w:pPr>
              <w:pStyle w:val="25"/>
              <w:ind w:left="136" w:right="13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情形 3</w:t>
            </w:r>
          </w:p>
        </w:tc>
        <w:tc>
          <w:tcPr>
            <w:tcW w:w="6020" w:type="dxa"/>
          </w:tcPr>
          <w:p w14:paraId="346980DF">
            <w:pPr>
              <w:pStyle w:val="25"/>
              <w:spacing w:line="420" w:lineRule="exact"/>
              <w:ind w:left="107" w:right="21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投标文件对招标文件实质性要求的响应存在重大偏离或保留。</w:t>
            </w:r>
          </w:p>
        </w:tc>
      </w:tr>
    </w:tbl>
    <w:p w14:paraId="58973A7E">
      <w:pPr>
        <w:pStyle w:val="4"/>
        <w:spacing w:before="113" w:after="16"/>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采购包 </w:t>
      </w:r>
      <w:r>
        <w:rPr>
          <w:rFonts w:hint="eastAsia" w:asciiTheme="minorEastAsia" w:hAnsiTheme="minorEastAsia" w:eastAsiaTheme="minorEastAsia" w:cstheme="minorEastAsia"/>
          <w:color w:val="auto"/>
          <w:lang w:val="en-US" w:eastAsia="zh-CN"/>
        </w:rPr>
        <w:t>2</w:t>
      </w:r>
      <w:r>
        <w:rPr>
          <w:rFonts w:hint="eastAsia" w:asciiTheme="minorEastAsia" w:hAnsiTheme="minorEastAsia" w:eastAsiaTheme="minorEastAsia" w:cstheme="minorEastAsia"/>
          <w:color w:val="auto"/>
        </w:rPr>
        <w:t>：</w:t>
      </w:r>
    </w:p>
    <w:tbl>
      <w:tblPr>
        <w:tblStyle w:val="18"/>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03"/>
        <w:gridCol w:w="2312"/>
        <w:gridCol w:w="6020"/>
      </w:tblGrid>
      <w:tr w14:paraId="4AE6D5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03" w:type="dxa"/>
          </w:tcPr>
          <w:p w14:paraId="1B8BA136">
            <w:pPr>
              <w:pStyle w:val="25"/>
              <w:spacing w:before="97" w:line="303" w:lineRule="exact"/>
              <w:ind w:right="309"/>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序号</w:t>
            </w:r>
          </w:p>
        </w:tc>
        <w:tc>
          <w:tcPr>
            <w:tcW w:w="2312" w:type="dxa"/>
          </w:tcPr>
          <w:p w14:paraId="49D10391">
            <w:pPr>
              <w:pStyle w:val="25"/>
              <w:spacing w:before="97" w:line="303" w:lineRule="exact"/>
              <w:ind w:right="13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符合审查要求概况</w:t>
            </w:r>
          </w:p>
        </w:tc>
        <w:tc>
          <w:tcPr>
            <w:tcW w:w="6020" w:type="dxa"/>
          </w:tcPr>
          <w:p w14:paraId="47EFEEFE">
            <w:pPr>
              <w:pStyle w:val="25"/>
              <w:spacing w:before="97" w:line="303" w:lineRule="exact"/>
              <w:ind w:right="2063"/>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评审点具体描述</w:t>
            </w:r>
          </w:p>
        </w:tc>
      </w:tr>
      <w:tr w14:paraId="036434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03" w:type="dxa"/>
            <w:vAlign w:val="center"/>
          </w:tcPr>
          <w:p w14:paraId="137C87EE">
            <w:pPr>
              <w:pStyle w:val="25"/>
              <w:spacing w:before="108" w:line="292" w:lineRule="exact"/>
              <w:ind w:left="5"/>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2312" w:type="dxa"/>
            <w:vAlign w:val="center"/>
          </w:tcPr>
          <w:p w14:paraId="43D03052">
            <w:pPr>
              <w:pStyle w:val="25"/>
              <w:spacing w:before="96" w:line="303" w:lineRule="exact"/>
              <w:ind w:left="136" w:right="13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情形 1</w:t>
            </w:r>
          </w:p>
        </w:tc>
        <w:tc>
          <w:tcPr>
            <w:tcW w:w="6020" w:type="dxa"/>
          </w:tcPr>
          <w:p w14:paraId="5AD42D0A">
            <w:pPr>
              <w:pStyle w:val="25"/>
              <w:spacing w:before="96" w:line="303" w:lineRule="exact"/>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违反招标文件中载明“投标无效”条款的规定；</w:t>
            </w:r>
          </w:p>
        </w:tc>
      </w:tr>
      <w:tr w14:paraId="12913B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903" w:type="dxa"/>
            <w:vAlign w:val="center"/>
          </w:tcPr>
          <w:p w14:paraId="1C52256C">
            <w:pPr>
              <w:pStyle w:val="25"/>
              <w:spacing w:before="108" w:line="292" w:lineRule="exact"/>
              <w:ind w:left="5"/>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w:t>
            </w:r>
          </w:p>
        </w:tc>
        <w:tc>
          <w:tcPr>
            <w:tcW w:w="2312" w:type="dxa"/>
            <w:vAlign w:val="center"/>
          </w:tcPr>
          <w:p w14:paraId="241AE4DE">
            <w:pPr>
              <w:pStyle w:val="25"/>
              <w:spacing w:before="96" w:line="304" w:lineRule="exact"/>
              <w:ind w:left="136" w:right="13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情形 2</w:t>
            </w:r>
          </w:p>
        </w:tc>
        <w:tc>
          <w:tcPr>
            <w:tcW w:w="6020" w:type="dxa"/>
          </w:tcPr>
          <w:p w14:paraId="3AB5B3BC">
            <w:pPr>
              <w:pStyle w:val="25"/>
              <w:spacing w:before="96" w:line="304" w:lineRule="exact"/>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rPr>
              <w:t xml:space="preserve">属于招标文件第三章第 </w:t>
            </w:r>
            <w:r>
              <w:rPr>
                <w:rFonts w:hint="eastAsia" w:asciiTheme="minorEastAsia" w:hAnsiTheme="minorEastAsia" w:eastAsiaTheme="minorEastAsia" w:cstheme="minorEastAsia"/>
                <w:color w:val="auto"/>
                <w:sz w:val="24"/>
              </w:rPr>
              <w:t>10.12 条规定的投标无效情形；</w:t>
            </w:r>
          </w:p>
        </w:tc>
      </w:tr>
      <w:tr w14:paraId="7E2A02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0" w:hRule="atLeast"/>
        </w:trPr>
        <w:tc>
          <w:tcPr>
            <w:tcW w:w="903" w:type="dxa"/>
            <w:vAlign w:val="center"/>
          </w:tcPr>
          <w:p w14:paraId="1A4F942F">
            <w:pPr>
              <w:pStyle w:val="25"/>
              <w:ind w:left="5"/>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w:t>
            </w:r>
          </w:p>
        </w:tc>
        <w:tc>
          <w:tcPr>
            <w:tcW w:w="2312" w:type="dxa"/>
            <w:vAlign w:val="center"/>
          </w:tcPr>
          <w:p w14:paraId="1213BE93">
            <w:pPr>
              <w:pStyle w:val="25"/>
              <w:ind w:left="136" w:right="131"/>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情形 3</w:t>
            </w:r>
          </w:p>
        </w:tc>
        <w:tc>
          <w:tcPr>
            <w:tcW w:w="6020" w:type="dxa"/>
          </w:tcPr>
          <w:p w14:paraId="1D9F5D0E">
            <w:pPr>
              <w:pStyle w:val="25"/>
              <w:spacing w:line="420" w:lineRule="exact"/>
              <w:ind w:left="107" w:right="21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投标文件对招标文件实质性要求的响应存在重大偏离或保留。</w:t>
            </w:r>
          </w:p>
        </w:tc>
      </w:tr>
    </w:tbl>
    <w:p w14:paraId="4F7B4E5D">
      <w:pPr>
        <w:spacing w:before="96"/>
        <w:ind w:left="700" w:right="0" w:firstLine="0"/>
        <w:jc w:val="left"/>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b/>
          <w:color w:val="auto"/>
          <w:sz w:val="24"/>
        </w:rPr>
        <w:t>②本项目规定的其他情形：</w:t>
      </w:r>
    </w:p>
    <w:p w14:paraId="3E19EBD4">
      <w:pPr>
        <w:spacing w:before="112" w:line="328" w:lineRule="auto"/>
        <w:ind w:left="220" w:right="3095" w:firstLine="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color w:val="auto"/>
          <w:spacing w:val="-16"/>
          <w:sz w:val="24"/>
        </w:rPr>
        <w:t xml:space="preserve">采购包 </w:t>
      </w:r>
      <w:r>
        <w:rPr>
          <w:rFonts w:hint="eastAsia" w:asciiTheme="minorEastAsia" w:hAnsiTheme="minorEastAsia" w:eastAsiaTheme="minorEastAsia" w:cstheme="minorEastAsia"/>
          <w:b/>
          <w:color w:val="auto"/>
          <w:sz w:val="24"/>
        </w:rPr>
        <w:t>1</w:t>
      </w:r>
      <w:r>
        <w:rPr>
          <w:rFonts w:hint="eastAsia" w:asciiTheme="minorEastAsia" w:hAnsiTheme="minorEastAsia" w:eastAsiaTheme="minorEastAsia" w:cstheme="minorEastAsia"/>
          <w:b/>
          <w:color w:val="auto"/>
          <w:spacing w:val="-3"/>
          <w:sz w:val="24"/>
        </w:rPr>
        <w:t xml:space="preserve">： </w:t>
      </w:r>
      <w:r>
        <w:rPr>
          <w:rFonts w:hint="eastAsia" w:asciiTheme="minorEastAsia" w:hAnsiTheme="minorEastAsia" w:eastAsiaTheme="minorEastAsia" w:cstheme="minorEastAsia"/>
          <w:color w:val="auto"/>
          <w:sz w:val="24"/>
        </w:rPr>
        <w:t>技术符合性</w:t>
      </w:r>
    </w:p>
    <w:tbl>
      <w:tblPr>
        <w:tblStyle w:val="18"/>
        <w:tblW w:w="0" w:type="auto"/>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09"/>
        <w:gridCol w:w="8033"/>
      </w:tblGrid>
      <w:tr w14:paraId="12AE1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0" w:hRule="atLeast"/>
        </w:trPr>
        <w:tc>
          <w:tcPr>
            <w:tcW w:w="1209" w:type="dxa"/>
          </w:tcPr>
          <w:p w14:paraId="23B6E568">
            <w:pPr>
              <w:pStyle w:val="25"/>
              <w:spacing w:before="96" w:line="304" w:lineRule="exact"/>
              <w:ind w:left="104" w:right="99"/>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情形</w:t>
            </w:r>
          </w:p>
        </w:tc>
        <w:tc>
          <w:tcPr>
            <w:tcW w:w="8033" w:type="dxa"/>
          </w:tcPr>
          <w:p w14:paraId="534B5470">
            <w:pPr>
              <w:pStyle w:val="25"/>
              <w:spacing w:before="96" w:line="304" w:lineRule="exact"/>
              <w:ind w:left="3755" w:right="3752"/>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明细</w:t>
            </w:r>
          </w:p>
        </w:tc>
      </w:tr>
      <w:tr w14:paraId="6EBB6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0" w:hRule="atLeast"/>
        </w:trPr>
        <w:tc>
          <w:tcPr>
            <w:tcW w:w="1209" w:type="dxa"/>
          </w:tcPr>
          <w:p w14:paraId="31524D17">
            <w:pPr>
              <w:pStyle w:val="25"/>
              <w:spacing w:before="12"/>
              <w:rPr>
                <w:rFonts w:hint="eastAsia" w:asciiTheme="minorEastAsia" w:hAnsiTheme="minorEastAsia" w:eastAsiaTheme="minorEastAsia" w:cstheme="minorEastAsia"/>
                <w:color w:val="auto"/>
                <w:sz w:val="23"/>
              </w:rPr>
            </w:pPr>
          </w:p>
          <w:p w14:paraId="09751D5E">
            <w:pPr>
              <w:pStyle w:val="25"/>
              <w:ind w:left="104" w:right="99"/>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其他情形</w:t>
            </w:r>
          </w:p>
        </w:tc>
        <w:tc>
          <w:tcPr>
            <w:tcW w:w="8033" w:type="dxa"/>
          </w:tcPr>
          <w:p w14:paraId="4D8ECAE8">
            <w:pPr>
              <w:pStyle w:val="25"/>
              <w:spacing w:before="2" w:line="420" w:lineRule="exact"/>
              <w:ind w:left="108" w:right="11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3"/>
                <w:sz w:val="24"/>
              </w:rPr>
              <w:t>技术部分中不得出现报价部分的全部或部分的投标报价信息</w:t>
            </w:r>
            <w:r>
              <w:rPr>
                <w:rFonts w:hint="eastAsia" w:asciiTheme="minorEastAsia" w:hAnsiTheme="minorEastAsia" w:eastAsiaTheme="minorEastAsia" w:cstheme="minorEastAsia"/>
                <w:color w:val="auto"/>
                <w:sz w:val="24"/>
              </w:rPr>
              <w:t>（或组成资料</w:t>
            </w:r>
            <w:r>
              <w:rPr>
                <w:rFonts w:hint="eastAsia" w:asciiTheme="minorEastAsia" w:hAnsiTheme="minorEastAsia" w:eastAsiaTheme="minorEastAsia" w:cstheme="minorEastAsia"/>
                <w:color w:val="auto"/>
                <w:spacing w:val="-77"/>
                <w:sz w:val="24"/>
              </w:rPr>
              <w:t xml:space="preserve">） </w:t>
            </w:r>
            <w:r>
              <w:rPr>
                <w:rFonts w:hint="eastAsia" w:asciiTheme="minorEastAsia" w:hAnsiTheme="minorEastAsia" w:eastAsiaTheme="minorEastAsia" w:cstheme="minorEastAsia"/>
                <w:color w:val="auto"/>
                <w:sz w:val="24"/>
              </w:rPr>
              <w:t>否则符合性审查不合格。</w:t>
            </w:r>
          </w:p>
        </w:tc>
      </w:tr>
      <w:tr w14:paraId="008A2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8" w:hRule="atLeast"/>
        </w:trPr>
        <w:tc>
          <w:tcPr>
            <w:tcW w:w="1209" w:type="dxa"/>
          </w:tcPr>
          <w:p w14:paraId="4CEC9673">
            <w:pPr>
              <w:pStyle w:val="25"/>
              <w:spacing w:before="10"/>
              <w:rPr>
                <w:rFonts w:hint="eastAsia" w:asciiTheme="minorEastAsia" w:hAnsiTheme="minorEastAsia" w:eastAsiaTheme="minorEastAsia" w:cstheme="minorEastAsia"/>
                <w:color w:val="auto"/>
                <w:sz w:val="23"/>
              </w:rPr>
            </w:pPr>
          </w:p>
          <w:p w14:paraId="43DFC1F3">
            <w:pPr>
              <w:pStyle w:val="25"/>
              <w:ind w:left="104" w:right="99"/>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其他情形</w:t>
            </w:r>
          </w:p>
        </w:tc>
        <w:tc>
          <w:tcPr>
            <w:tcW w:w="8033" w:type="dxa"/>
          </w:tcPr>
          <w:p w14:paraId="6BEBF7D0">
            <w:pPr>
              <w:pStyle w:val="25"/>
              <w:spacing w:line="420" w:lineRule="exact"/>
              <w:ind w:left="108" w:right="10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0"/>
                <w:sz w:val="24"/>
              </w:rPr>
              <w:t>违反招标文件中载明“投标无效”条款的规定或不符合招标文件规定的其它</w:t>
            </w:r>
            <w:r>
              <w:rPr>
                <w:rFonts w:hint="eastAsia" w:asciiTheme="minorEastAsia" w:hAnsiTheme="minorEastAsia" w:eastAsiaTheme="minorEastAsia" w:cstheme="minorEastAsia"/>
                <w:color w:val="auto"/>
                <w:sz w:val="24"/>
              </w:rPr>
              <w:t>实质性要求。</w:t>
            </w:r>
          </w:p>
        </w:tc>
      </w:tr>
      <w:tr w14:paraId="4D395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8" w:hRule="atLeast"/>
        </w:trPr>
        <w:tc>
          <w:tcPr>
            <w:tcW w:w="1209" w:type="dxa"/>
          </w:tcPr>
          <w:p w14:paraId="250E62E2">
            <w:pPr>
              <w:pStyle w:val="25"/>
              <w:ind w:left="104" w:right="99"/>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其他情形</w:t>
            </w:r>
          </w:p>
        </w:tc>
        <w:tc>
          <w:tcPr>
            <w:tcW w:w="8033" w:type="dxa"/>
          </w:tcPr>
          <w:p w14:paraId="3C03118C">
            <w:pPr>
              <w:pStyle w:val="25"/>
              <w:spacing w:line="420" w:lineRule="exact"/>
              <w:ind w:left="108" w:right="100"/>
              <w:rPr>
                <w:rFonts w:hint="eastAsia" w:eastAsia="宋体" w:asciiTheme="minorEastAsia" w:hAnsiTheme="minorEastAsia" w:cstheme="minorEastAsia"/>
                <w:color w:val="auto"/>
                <w:spacing w:val="-10"/>
                <w:sz w:val="24"/>
                <w:lang w:eastAsia="zh-CN"/>
              </w:rPr>
            </w:pPr>
            <w:r>
              <w:rPr>
                <w:rFonts w:hint="eastAsia" w:ascii="宋体" w:hAnsi="宋体" w:eastAsia="宋体" w:cs="宋体"/>
                <w:color w:val="auto"/>
                <w:spacing w:val="-6"/>
                <w:sz w:val="24"/>
                <w:szCs w:val="24"/>
                <w:highlight w:val="none"/>
                <w:lang w:val="en-US" w:eastAsia="en-US" w:bidi="ar-SA"/>
              </w:rPr>
              <w:t>技术参数中标注“★”的参数为不允许负偏离的实质性要求，如若负偏离则视为无效投标</w:t>
            </w:r>
            <w:r>
              <w:rPr>
                <w:rFonts w:hint="eastAsia" w:ascii="宋体" w:hAnsi="宋体" w:eastAsia="宋体" w:cs="宋体"/>
                <w:color w:val="auto"/>
                <w:spacing w:val="-6"/>
                <w:sz w:val="24"/>
                <w:szCs w:val="24"/>
                <w:highlight w:val="none"/>
                <w:lang w:val="en-US" w:eastAsia="zh-CN" w:bidi="ar-SA"/>
              </w:rPr>
              <w:t>。</w:t>
            </w:r>
          </w:p>
        </w:tc>
      </w:tr>
    </w:tbl>
    <w:p w14:paraId="20527DB8">
      <w:pPr>
        <w:pStyle w:val="6"/>
        <w:spacing w:after="1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商务符合性</w:t>
      </w:r>
    </w:p>
    <w:tbl>
      <w:tblPr>
        <w:tblStyle w:val="18"/>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39"/>
        <w:gridCol w:w="8003"/>
      </w:tblGrid>
      <w:tr w14:paraId="77C48E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1239" w:type="dxa"/>
          </w:tcPr>
          <w:p w14:paraId="2EEABE32">
            <w:pPr>
              <w:pStyle w:val="25"/>
              <w:spacing w:before="97" w:line="302" w:lineRule="exact"/>
              <w:ind w:left="119" w:right="115"/>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情形</w:t>
            </w:r>
          </w:p>
        </w:tc>
        <w:tc>
          <w:tcPr>
            <w:tcW w:w="8003" w:type="dxa"/>
          </w:tcPr>
          <w:p w14:paraId="2A46FA1C">
            <w:pPr>
              <w:pStyle w:val="25"/>
              <w:spacing w:before="97" w:line="302" w:lineRule="exact"/>
              <w:ind w:left="3740" w:right="3738"/>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明细</w:t>
            </w:r>
          </w:p>
        </w:tc>
      </w:tr>
      <w:tr w14:paraId="71DC23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0" w:hRule="atLeast"/>
        </w:trPr>
        <w:tc>
          <w:tcPr>
            <w:tcW w:w="1239" w:type="dxa"/>
          </w:tcPr>
          <w:p w14:paraId="56297D18">
            <w:pPr>
              <w:pStyle w:val="25"/>
              <w:ind w:left="119" w:right="115"/>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其他情形</w:t>
            </w:r>
          </w:p>
        </w:tc>
        <w:tc>
          <w:tcPr>
            <w:tcW w:w="8003" w:type="dxa"/>
          </w:tcPr>
          <w:p w14:paraId="161D15F0">
            <w:pPr>
              <w:pStyle w:val="25"/>
              <w:spacing w:before="1" w:line="420" w:lineRule="exact"/>
              <w:ind w:left="107" w:right="5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对招标文件“第五章 三、商务条件”中的任何一项要求存在未响应或者负偏离的，其投标无效。</w:t>
            </w:r>
          </w:p>
        </w:tc>
      </w:tr>
      <w:tr w14:paraId="0F1FC3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839" w:hRule="atLeast"/>
        </w:trPr>
        <w:tc>
          <w:tcPr>
            <w:tcW w:w="1239" w:type="dxa"/>
          </w:tcPr>
          <w:p w14:paraId="446AC94C">
            <w:pPr>
              <w:pStyle w:val="25"/>
              <w:ind w:left="119" w:right="115"/>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其他情形</w:t>
            </w:r>
          </w:p>
        </w:tc>
        <w:tc>
          <w:tcPr>
            <w:tcW w:w="8003" w:type="dxa"/>
          </w:tcPr>
          <w:p w14:paraId="47DE829A">
            <w:pPr>
              <w:pStyle w:val="25"/>
              <w:spacing w:line="420" w:lineRule="exact"/>
              <w:ind w:left="107" w:right="44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商务部分中不得出现报价部分的全部或部分的投标报价信息（或组成资料），否则符合性审查不合格。</w:t>
            </w:r>
          </w:p>
        </w:tc>
      </w:tr>
      <w:tr w14:paraId="6D049F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21" w:hRule="atLeast"/>
        </w:trPr>
        <w:tc>
          <w:tcPr>
            <w:tcW w:w="1239" w:type="dxa"/>
          </w:tcPr>
          <w:p w14:paraId="4E9B4D6E">
            <w:pPr>
              <w:pStyle w:val="25"/>
              <w:spacing w:before="96" w:line="306" w:lineRule="exact"/>
              <w:ind w:left="119" w:right="115"/>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其他情形</w:t>
            </w:r>
          </w:p>
        </w:tc>
        <w:tc>
          <w:tcPr>
            <w:tcW w:w="8003" w:type="dxa"/>
          </w:tcPr>
          <w:p w14:paraId="63FBD7F5">
            <w:pPr>
              <w:pStyle w:val="25"/>
              <w:spacing w:before="96" w:line="306" w:lineRule="exact"/>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违反招标文件中载明“投标无效”条款的规定或不符合招标文件规定的其它实质性要求。</w:t>
            </w:r>
          </w:p>
        </w:tc>
      </w:tr>
    </w:tbl>
    <w:p w14:paraId="64BA8408">
      <w:pPr>
        <w:pStyle w:val="6"/>
        <w:spacing w:before="96" w:line="328" w:lineRule="auto"/>
        <w:ind w:right="768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附加符合性：无。价格符合性：无。</w:t>
      </w:r>
    </w:p>
    <w:p w14:paraId="3457BE77">
      <w:pPr>
        <w:spacing w:before="112" w:line="328" w:lineRule="auto"/>
        <w:ind w:left="220" w:right="3095" w:firstLine="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color w:val="auto"/>
          <w:spacing w:val="-16"/>
          <w:sz w:val="24"/>
        </w:rPr>
        <w:t xml:space="preserve">采购包 </w:t>
      </w:r>
      <w:r>
        <w:rPr>
          <w:rFonts w:hint="eastAsia" w:asciiTheme="minorEastAsia" w:hAnsiTheme="minorEastAsia" w:eastAsiaTheme="minorEastAsia" w:cstheme="minorEastAsia"/>
          <w:b/>
          <w:color w:val="auto"/>
          <w:sz w:val="24"/>
          <w:lang w:val="en-US" w:eastAsia="zh-CN"/>
        </w:rPr>
        <w:t>2</w:t>
      </w:r>
      <w:r>
        <w:rPr>
          <w:rFonts w:hint="eastAsia" w:asciiTheme="minorEastAsia" w:hAnsiTheme="minorEastAsia" w:eastAsiaTheme="minorEastAsia" w:cstheme="minorEastAsia"/>
          <w:b/>
          <w:color w:val="auto"/>
          <w:spacing w:val="-3"/>
          <w:sz w:val="24"/>
        </w:rPr>
        <w:t xml:space="preserve">： </w:t>
      </w:r>
      <w:r>
        <w:rPr>
          <w:rFonts w:hint="eastAsia" w:asciiTheme="minorEastAsia" w:hAnsiTheme="minorEastAsia" w:eastAsiaTheme="minorEastAsia" w:cstheme="minorEastAsia"/>
          <w:color w:val="auto"/>
          <w:sz w:val="24"/>
        </w:rPr>
        <w:t>技术符合性</w:t>
      </w:r>
    </w:p>
    <w:tbl>
      <w:tblPr>
        <w:tblStyle w:val="18"/>
        <w:tblW w:w="0" w:type="auto"/>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09"/>
        <w:gridCol w:w="8033"/>
      </w:tblGrid>
      <w:tr w14:paraId="4ED17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0" w:hRule="atLeast"/>
        </w:trPr>
        <w:tc>
          <w:tcPr>
            <w:tcW w:w="1209" w:type="dxa"/>
          </w:tcPr>
          <w:p w14:paraId="67B7E3F6">
            <w:pPr>
              <w:pStyle w:val="25"/>
              <w:spacing w:before="96" w:line="304" w:lineRule="exact"/>
              <w:ind w:left="104" w:right="99"/>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情形</w:t>
            </w:r>
          </w:p>
        </w:tc>
        <w:tc>
          <w:tcPr>
            <w:tcW w:w="8033" w:type="dxa"/>
          </w:tcPr>
          <w:p w14:paraId="222CBD67">
            <w:pPr>
              <w:pStyle w:val="25"/>
              <w:spacing w:before="96" w:line="304" w:lineRule="exact"/>
              <w:ind w:left="3755" w:right="3752"/>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明细</w:t>
            </w:r>
          </w:p>
        </w:tc>
      </w:tr>
      <w:tr w14:paraId="229F1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0" w:hRule="atLeast"/>
        </w:trPr>
        <w:tc>
          <w:tcPr>
            <w:tcW w:w="1209" w:type="dxa"/>
          </w:tcPr>
          <w:p w14:paraId="5D546823">
            <w:pPr>
              <w:pStyle w:val="25"/>
              <w:spacing w:before="12"/>
              <w:rPr>
                <w:rFonts w:hint="eastAsia" w:asciiTheme="minorEastAsia" w:hAnsiTheme="minorEastAsia" w:eastAsiaTheme="minorEastAsia" w:cstheme="minorEastAsia"/>
                <w:color w:val="auto"/>
                <w:sz w:val="23"/>
              </w:rPr>
            </w:pPr>
          </w:p>
          <w:p w14:paraId="718254E9">
            <w:pPr>
              <w:pStyle w:val="25"/>
              <w:ind w:left="104" w:right="99"/>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其他情形</w:t>
            </w:r>
          </w:p>
        </w:tc>
        <w:tc>
          <w:tcPr>
            <w:tcW w:w="8033" w:type="dxa"/>
          </w:tcPr>
          <w:p w14:paraId="2330A624">
            <w:pPr>
              <w:pStyle w:val="25"/>
              <w:spacing w:before="2" w:line="420" w:lineRule="exact"/>
              <w:ind w:left="108" w:right="11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3"/>
                <w:sz w:val="24"/>
              </w:rPr>
              <w:t>技术部分中不得出现报价部分的全部或部分的投标报价信息</w:t>
            </w:r>
            <w:r>
              <w:rPr>
                <w:rFonts w:hint="eastAsia" w:asciiTheme="minorEastAsia" w:hAnsiTheme="minorEastAsia" w:eastAsiaTheme="minorEastAsia" w:cstheme="minorEastAsia"/>
                <w:color w:val="auto"/>
                <w:sz w:val="24"/>
              </w:rPr>
              <w:t>（或组成资料</w:t>
            </w:r>
            <w:r>
              <w:rPr>
                <w:rFonts w:hint="eastAsia" w:asciiTheme="minorEastAsia" w:hAnsiTheme="minorEastAsia" w:eastAsiaTheme="minorEastAsia" w:cstheme="minorEastAsia"/>
                <w:color w:val="auto"/>
                <w:spacing w:val="-77"/>
                <w:sz w:val="24"/>
              </w:rPr>
              <w:t xml:space="preserve">） </w:t>
            </w:r>
            <w:r>
              <w:rPr>
                <w:rFonts w:hint="eastAsia" w:asciiTheme="minorEastAsia" w:hAnsiTheme="minorEastAsia" w:eastAsiaTheme="minorEastAsia" w:cstheme="minorEastAsia"/>
                <w:color w:val="auto"/>
                <w:sz w:val="24"/>
              </w:rPr>
              <w:t>否则符合性审查不合格。</w:t>
            </w:r>
          </w:p>
        </w:tc>
      </w:tr>
      <w:tr w14:paraId="4E4DE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8" w:hRule="atLeast"/>
        </w:trPr>
        <w:tc>
          <w:tcPr>
            <w:tcW w:w="1209" w:type="dxa"/>
          </w:tcPr>
          <w:p w14:paraId="78E0D596">
            <w:pPr>
              <w:pStyle w:val="25"/>
              <w:spacing w:before="10"/>
              <w:rPr>
                <w:rFonts w:hint="eastAsia" w:asciiTheme="minorEastAsia" w:hAnsiTheme="minorEastAsia" w:eastAsiaTheme="minorEastAsia" w:cstheme="minorEastAsia"/>
                <w:color w:val="auto"/>
                <w:sz w:val="23"/>
              </w:rPr>
            </w:pPr>
          </w:p>
          <w:p w14:paraId="32CEA052">
            <w:pPr>
              <w:pStyle w:val="25"/>
              <w:ind w:left="104" w:right="99"/>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其他情形</w:t>
            </w:r>
          </w:p>
        </w:tc>
        <w:tc>
          <w:tcPr>
            <w:tcW w:w="8033" w:type="dxa"/>
          </w:tcPr>
          <w:p w14:paraId="729B6B39">
            <w:pPr>
              <w:pStyle w:val="25"/>
              <w:spacing w:line="420" w:lineRule="exact"/>
              <w:ind w:left="108" w:right="10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0"/>
                <w:sz w:val="24"/>
              </w:rPr>
              <w:t>违反招标文件中载明“投标无效”条款的规定或不符合招标文件规定的其它</w:t>
            </w:r>
            <w:r>
              <w:rPr>
                <w:rFonts w:hint="eastAsia" w:asciiTheme="minorEastAsia" w:hAnsiTheme="minorEastAsia" w:eastAsiaTheme="minorEastAsia" w:cstheme="minorEastAsia"/>
                <w:color w:val="auto"/>
                <w:sz w:val="24"/>
              </w:rPr>
              <w:t>实质性要求。</w:t>
            </w:r>
          </w:p>
        </w:tc>
      </w:tr>
      <w:tr w14:paraId="5969A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8" w:hRule="atLeast"/>
        </w:trPr>
        <w:tc>
          <w:tcPr>
            <w:tcW w:w="1209" w:type="dxa"/>
            <w:shd w:val="clear" w:color="auto" w:fill="auto"/>
            <w:vAlign w:val="top"/>
          </w:tcPr>
          <w:p w14:paraId="15F7296C">
            <w:pPr>
              <w:pStyle w:val="25"/>
              <w:ind w:left="104" w:leftChars="0" w:right="99" w:rightChars="0"/>
              <w:jc w:val="center"/>
              <w:rPr>
                <w:rFonts w:hint="eastAsia" w:asciiTheme="minorEastAsia" w:hAnsiTheme="minorEastAsia" w:eastAsiaTheme="minorEastAsia" w:cstheme="minorEastAsia"/>
                <w:color w:val="auto"/>
                <w:sz w:val="24"/>
                <w:szCs w:val="22"/>
                <w:lang w:val="en-US" w:eastAsia="en-US" w:bidi="ar-SA"/>
              </w:rPr>
            </w:pPr>
            <w:r>
              <w:rPr>
                <w:rFonts w:hint="eastAsia" w:asciiTheme="minorEastAsia" w:hAnsiTheme="minorEastAsia" w:eastAsiaTheme="minorEastAsia" w:cstheme="minorEastAsia"/>
                <w:color w:val="auto"/>
                <w:sz w:val="24"/>
              </w:rPr>
              <w:t>其他情形</w:t>
            </w:r>
          </w:p>
        </w:tc>
        <w:tc>
          <w:tcPr>
            <w:tcW w:w="8033" w:type="dxa"/>
            <w:shd w:val="clear" w:color="auto" w:fill="auto"/>
            <w:vAlign w:val="top"/>
          </w:tcPr>
          <w:p w14:paraId="49E1C907">
            <w:pPr>
              <w:pStyle w:val="25"/>
              <w:spacing w:line="420" w:lineRule="exact"/>
              <w:ind w:left="108" w:leftChars="0" w:right="100" w:rightChars="0"/>
              <w:rPr>
                <w:rFonts w:hint="eastAsia" w:eastAsia="宋体" w:asciiTheme="minorEastAsia" w:hAnsiTheme="minorEastAsia" w:cstheme="minorEastAsia"/>
                <w:color w:val="auto"/>
                <w:spacing w:val="-10"/>
                <w:sz w:val="24"/>
                <w:szCs w:val="22"/>
                <w:lang w:val="en-US" w:eastAsia="zh-CN" w:bidi="ar-SA"/>
              </w:rPr>
            </w:pPr>
            <w:r>
              <w:rPr>
                <w:rFonts w:hint="eastAsia" w:ascii="宋体" w:hAnsi="宋体" w:eastAsia="宋体" w:cs="宋体"/>
                <w:color w:val="auto"/>
                <w:spacing w:val="-6"/>
                <w:sz w:val="24"/>
                <w:szCs w:val="24"/>
                <w:highlight w:val="none"/>
                <w:lang w:val="en-US" w:eastAsia="en-US" w:bidi="ar-SA"/>
              </w:rPr>
              <w:t>技术参数中标注“★”的参数为不允许负偏离的实质性要求，如若负偏离则视为无效投标</w:t>
            </w:r>
            <w:r>
              <w:rPr>
                <w:rFonts w:hint="eastAsia" w:ascii="宋体" w:hAnsi="宋体" w:eastAsia="宋体" w:cs="宋体"/>
                <w:color w:val="auto"/>
                <w:spacing w:val="-6"/>
                <w:sz w:val="24"/>
                <w:szCs w:val="24"/>
                <w:highlight w:val="none"/>
                <w:lang w:val="en-US" w:eastAsia="zh-CN" w:bidi="ar-SA"/>
              </w:rPr>
              <w:t>。</w:t>
            </w:r>
          </w:p>
        </w:tc>
      </w:tr>
    </w:tbl>
    <w:p w14:paraId="5A5BE4EA">
      <w:pPr>
        <w:pStyle w:val="6"/>
        <w:spacing w:after="1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商务符合性</w:t>
      </w:r>
    </w:p>
    <w:tbl>
      <w:tblPr>
        <w:tblStyle w:val="18"/>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39"/>
        <w:gridCol w:w="8003"/>
      </w:tblGrid>
      <w:tr w14:paraId="244B92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20" w:hRule="atLeast"/>
        </w:trPr>
        <w:tc>
          <w:tcPr>
            <w:tcW w:w="1239" w:type="dxa"/>
          </w:tcPr>
          <w:p w14:paraId="6734E0FD">
            <w:pPr>
              <w:pStyle w:val="25"/>
              <w:spacing w:before="97" w:line="302" w:lineRule="exact"/>
              <w:ind w:left="119" w:right="115"/>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情形</w:t>
            </w:r>
          </w:p>
        </w:tc>
        <w:tc>
          <w:tcPr>
            <w:tcW w:w="8003" w:type="dxa"/>
          </w:tcPr>
          <w:p w14:paraId="09BB07B9">
            <w:pPr>
              <w:pStyle w:val="25"/>
              <w:spacing w:before="97" w:line="302" w:lineRule="exact"/>
              <w:ind w:left="3740" w:right="3738"/>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明细</w:t>
            </w:r>
          </w:p>
        </w:tc>
      </w:tr>
      <w:tr w14:paraId="607021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0" w:hRule="atLeast"/>
        </w:trPr>
        <w:tc>
          <w:tcPr>
            <w:tcW w:w="1239" w:type="dxa"/>
          </w:tcPr>
          <w:p w14:paraId="0E4B029E">
            <w:pPr>
              <w:pStyle w:val="25"/>
              <w:ind w:left="119" w:right="115"/>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其他情形</w:t>
            </w:r>
          </w:p>
        </w:tc>
        <w:tc>
          <w:tcPr>
            <w:tcW w:w="8003" w:type="dxa"/>
          </w:tcPr>
          <w:p w14:paraId="4F6AED42">
            <w:pPr>
              <w:pStyle w:val="25"/>
              <w:spacing w:before="1" w:line="420" w:lineRule="exact"/>
              <w:ind w:left="107" w:right="5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对招标文件“第五章 三、商务条件”中的任何一项要求存在未响应或者负偏离的，其投标无效。</w:t>
            </w:r>
          </w:p>
        </w:tc>
      </w:tr>
      <w:tr w14:paraId="49F477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9" w:hRule="atLeast"/>
        </w:trPr>
        <w:tc>
          <w:tcPr>
            <w:tcW w:w="1239" w:type="dxa"/>
          </w:tcPr>
          <w:p w14:paraId="11A0607F">
            <w:pPr>
              <w:pStyle w:val="25"/>
              <w:ind w:left="119" w:right="115"/>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其他情形</w:t>
            </w:r>
          </w:p>
        </w:tc>
        <w:tc>
          <w:tcPr>
            <w:tcW w:w="8003" w:type="dxa"/>
          </w:tcPr>
          <w:p w14:paraId="003DE403">
            <w:pPr>
              <w:pStyle w:val="25"/>
              <w:spacing w:line="420" w:lineRule="exact"/>
              <w:ind w:left="107" w:right="44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商务部分中不得出现报价部分的全部或部分的投标报价信息（或组成资料），否则符合性审查不合格。</w:t>
            </w:r>
          </w:p>
        </w:tc>
      </w:tr>
      <w:tr w14:paraId="50F400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1" w:hRule="atLeast"/>
        </w:trPr>
        <w:tc>
          <w:tcPr>
            <w:tcW w:w="1239" w:type="dxa"/>
          </w:tcPr>
          <w:p w14:paraId="02C9ABC7">
            <w:pPr>
              <w:pStyle w:val="25"/>
              <w:spacing w:before="96" w:line="306" w:lineRule="exact"/>
              <w:ind w:left="119" w:right="115"/>
              <w:jc w:val="center"/>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其他情形</w:t>
            </w:r>
          </w:p>
        </w:tc>
        <w:tc>
          <w:tcPr>
            <w:tcW w:w="8003" w:type="dxa"/>
          </w:tcPr>
          <w:p w14:paraId="3308BB9D">
            <w:pPr>
              <w:pStyle w:val="25"/>
              <w:spacing w:before="96" w:line="306" w:lineRule="exact"/>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违反招标文件中载明“投标无效”条款的规定或不符合招标文件规定的其它实质性要求。</w:t>
            </w:r>
          </w:p>
        </w:tc>
      </w:tr>
    </w:tbl>
    <w:p w14:paraId="79C0F26E">
      <w:pPr>
        <w:pStyle w:val="6"/>
        <w:spacing w:before="96" w:line="328" w:lineRule="auto"/>
        <w:ind w:right="768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附加符合性：无。价格符合性：无。</w:t>
      </w:r>
    </w:p>
    <w:p w14:paraId="4839A4BA">
      <w:pPr>
        <w:pStyle w:val="24"/>
        <w:numPr>
          <w:ilvl w:val="1"/>
          <w:numId w:val="50"/>
        </w:numPr>
        <w:tabs>
          <w:tab w:val="left" w:pos="1063"/>
        </w:tabs>
        <w:spacing w:before="0" w:after="0" w:line="305" w:lineRule="exact"/>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澄清有关问题</w:t>
      </w:r>
    </w:p>
    <w:p w14:paraId="36372AB3">
      <w:pPr>
        <w:pStyle w:val="24"/>
        <w:numPr>
          <w:ilvl w:val="0"/>
          <w:numId w:val="53"/>
        </w:numPr>
        <w:tabs>
          <w:tab w:val="left" w:pos="1304"/>
        </w:tabs>
        <w:spacing w:before="113"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对通过符合性审查的投标文件中含义不明确、同类问题表述不一致或有明显</w:t>
      </w:r>
      <w:r>
        <w:rPr>
          <w:rFonts w:hint="eastAsia" w:asciiTheme="minorEastAsia" w:hAnsiTheme="minorEastAsia" w:eastAsiaTheme="minorEastAsia" w:cstheme="minorEastAsia"/>
          <w:color w:val="auto"/>
          <w:spacing w:val="-8"/>
          <w:sz w:val="24"/>
        </w:rPr>
        <w:t>文字和计算错误的内容，评标委员会将以书面形式要求投标人作出必要的澄清、说明或</w:t>
      </w:r>
      <w:r>
        <w:rPr>
          <w:rFonts w:hint="eastAsia" w:asciiTheme="minorEastAsia" w:hAnsiTheme="minorEastAsia" w:eastAsiaTheme="minorEastAsia" w:cstheme="minorEastAsia"/>
          <w:color w:val="auto"/>
          <w:sz w:val="24"/>
        </w:rPr>
        <w:t>补正。</w:t>
      </w:r>
    </w:p>
    <w:p w14:paraId="0375E281">
      <w:pPr>
        <w:pStyle w:val="24"/>
        <w:numPr>
          <w:ilvl w:val="0"/>
          <w:numId w:val="53"/>
        </w:numPr>
        <w:tabs>
          <w:tab w:val="left" w:pos="1304"/>
        </w:tabs>
        <w:spacing w:before="0"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投标人的澄清、说明或补正应由投标人代表在评标委员会规定的时间内（</w:t>
      </w:r>
      <w:r>
        <w:rPr>
          <w:rFonts w:hint="eastAsia" w:asciiTheme="minorEastAsia" w:hAnsiTheme="minorEastAsia" w:eastAsiaTheme="minorEastAsia" w:cstheme="minorEastAsia"/>
          <w:color w:val="auto"/>
          <w:spacing w:val="-11"/>
          <w:sz w:val="24"/>
        </w:rPr>
        <w:t>一</w:t>
      </w:r>
      <w:r>
        <w:rPr>
          <w:rFonts w:hint="eastAsia" w:asciiTheme="minorEastAsia" w:hAnsiTheme="minorEastAsia" w:eastAsiaTheme="minorEastAsia" w:cstheme="minorEastAsia"/>
          <w:color w:val="auto"/>
          <w:spacing w:val="-6"/>
          <w:sz w:val="24"/>
        </w:rPr>
        <w:t>般在半个小时左右，具体要求将根据实际情况在澄清通知中约定</w:t>
      </w:r>
      <w:r>
        <w:rPr>
          <w:rFonts w:hint="eastAsia" w:asciiTheme="minorEastAsia" w:hAnsiTheme="minorEastAsia" w:eastAsiaTheme="minorEastAsia" w:cstheme="minorEastAsia"/>
          <w:color w:val="auto"/>
          <w:spacing w:val="-46"/>
          <w:sz w:val="24"/>
        </w:rPr>
        <w:t>）</w:t>
      </w:r>
      <w:r>
        <w:rPr>
          <w:rFonts w:hint="eastAsia" w:asciiTheme="minorEastAsia" w:hAnsiTheme="minorEastAsia" w:eastAsiaTheme="minorEastAsia" w:cstheme="minorEastAsia"/>
          <w:color w:val="auto"/>
          <w:spacing w:val="-2"/>
          <w:sz w:val="24"/>
        </w:rPr>
        <w:t>以书面形式向评标委</w:t>
      </w:r>
      <w:r>
        <w:rPr>
          <w:rFonts w:hint="eastAsia" w:asciiTheme="minorEastAsia" w:hAnsiTheme="minorEastAsia" w:eastAsiaTheme="minorEastAsia" w:cstheme="minorEastAsia"/>
          <w:color w:val="auto"/>
          <w:spacing w:val="-11"/>
          <w:sz w:val="24"/>
        </w:rPr>
        <w:t>员会提交，前述澄清、说明或补正不得超出投标文件的范围或改变投标文件的实质性内</w:t>
      </w:r>
      <w:r>
        <w:rPr>
          <w:rFonts w:hint="eastAsia" w:asciiTheme="minorEastAsia" w:hAnsiTheme="minorEastAsia" w:eastAsiaTheme="minorEastAsia" w:cstheme="minorEastAsia"/>
          <w:color w:val="auto"/>
          <w:spacing w:val="-9"/>
          <w:sz w:val="24"/>
        </w:rPr>
        <w:t>容。若投标人未按照前述规定向评标委员会提交书面澄清、说明或补正，则评标委员会</w:t>
      </w:r>
      <w:r>
        <w:rPr>
          <w:rFonts w:hint="eastAsia" w:asciiTheme="minorEastAsia" w:hAnsiTheme="minorEastAsia" w:eastAsiaTheme="minorEastAsia" w:cstheme="minorEastAsia"/>
          <w:color w:val="auto"/>
          <w:sz w:val="24"/>
        </w:rPr>
        <w:t>将按照不利于投标人的内容进行认定。</w:t>
      </w:r>
    </w:p>
    <w:p w14:paraId="0B909A63">
      <w:pPr>
        <w:pStyle w:val="24"/>
        <w:numPr>
          <w:ilvl w:val="0"/>
          <w:numId w:val="53"/>
        </w:numPr>
        <w:tabs>
          <w:tab w:val="left" w:pos="1304"/>
        </w:tabs>
        <w:spacing w:before="0" w:after="0" w:line="328" w:lineRule="auto"/>
        <w:ind w:left="220" w:right="580"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投标文件报价出现前后不一致的，除招标文件另有规定外，按照下列规定修</w:t>
      </w:r>
      <w:r>
        <w:rPr>
          <w:rFonts w:hint="eastAsia" w:asciiTheme="minorEastAsia" w:hAnsiTheme="minorEastAsia" w:eastAsiaTheme="minorEastAsia" w:cstheme="minorEastAsia"/>
          <w:color w:val="auto"/>
          <w:sz w:val="24"/>
        </w:rPr>
        <w:t>正：</w:t>
      </w:r>
    </w:p>
    <w:p w14:paraId="3E74B097">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①开标一览表内容与投标文件中相应内容不一致的，以开标一览表为准；</w:t>
      </w:r>
    </w:p>
    <w:p w14:paraId="70CFDFB9">
      <w:pPr>
        <w:pStyle w:val="6"/>
        <w:spacing w:before="10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②大写金额和小写金额不一致的，以大写金额为准；</w:t>
      </w:r>
    </w:p>
    <w:p w14:paraId="3DE4E86F">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③单价金额小数点或百分比有明显错位的，以开标一览表的总价为准，并修改单价；</w:t>
      </w:r>
    </w:p>
    <w:p w14:paraId="42AC5640">
      <w:pPr>
        <w:pStyle w:val="6"/>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④总价金额与按照单价汇总金额不一致的，以单价金额计算结果为准。</w:t>
      </w:r>
    </w:p>
    <w:p w14:paraId="6DB2355C">
      <w:pPr>
        <w:pStyle w:val="6"/>
        <w:spacing w:before="113"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7"/>
        </w:rPr>
        <w:t>※同时出现两种以上不一致的，按照前款规定的顺序修正。修正后的报价应按照本</w:t>
      </w:r>
      <w:r>
        <w:rPr>
          <w:rFonts w:hint="eastAsia" w:asciiTheme="minorEastAsia" w:hAnsiTheme="minorEastAsia" w:eastAsiaTheme="minorEastAsia" w:cstheme="minorEastAsia"/>
          <w:color w:val="auto"/>
          <w:spacing w:val="-20"/>
        </w:rPr>
        <w:t xml:space="preserve">章第 </w:t>
      </w:r>
      <w:r>
        <w:rPr>
          <w:rFonts w:hint="eastAsia" w:asciiTheme="minorEastAsia" w:hAnsiTheme="minorEastAsia" w:eastAsiaTheme="minorEastAsia" w:cstheme="minorEastAsia"/>
          <w:color w:val="auto"/>
        </w:rPr>
        <w:t xml:space="preserve">6.3 </w:t>
      </w:r>
      <w:r>
        <w:rPr>
          <w:rFonts w:hint="eastAsia" w:asciiTheme="minorEastAsia" w:hAnsiTheme="minorEastAsia" w:eastAsiaTheme="minorEastAsia" w:cstheme="minorEastAsia"/>
          <w:color w:val="auto"/>
          <w:spacing w:val="-3"/>
        </w:rPr>
        <w:t>条第（1）</w:t>
      </w:r>
      <w:r>
        <w:rPr>
          <w:rFonts w:hint="eastAsia" w:asciiTheme="minorEastAsia" w:hAnsiTheme="minorEastAsia" w:eastAsiaTheme="minorEastAsia" w:cstheme="minorEastAsia"/>
          <w:color w:val="auto"/>
          <w:spacing w:val="-12"/>
        </w:rPr>
        <w:t>、</w:t>
      </w:r>
      <w:r>
        <w:rPr>
          <w:rFonts w:hint="eastAsia" w:asciiTheme="minorEastAsia" w:hAnsiTheme="minorEastAsia" w:eastAsiaTheme="minorEastAsia" w:cstheme="minorEastAsia"/>
          <w:color w:val="auto"/>
          <w:spacing w:val="-3"/>
        </w:rPr>
        <w:t>（2）款规定经投标人确认后产生约束力，投标人不确认的，其投</w:t>
      </w:r>
      <w:r>
        <w:rPr>
          <w:rFonts w:hint="eastAsia" w:asciiTheme="minorEastAsia" w:hAnsiTheme="minorEastAsia" w:eastAsiaTheme="minorEastAsia" w:cstheme="minorEastAsia"/>
          <w:color w:val="auto"/>
        </w:rPr>
        <w:t>标无效。</w:t>
      </w:r>
    </w:p>
    <w:p w14:paraId="7AC6C92A">
      <w:pPr>
        <w:pStyle w:val="24"/>
        <w:numPr>
          <w:ilvl w:val="0"/>
          <w:numId w:val="53"/>
        </w:numPr>
        <w:tabs>
          <w:tab w:val="left" w:pos="1301"/>
        </w:tabs>
        <w:spacing w:before="0" w:after="0" w:line="304" w:lineRule="exact"/>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关于细微偏差</w:t>
      </w:r>
    </w:p>
    <w:p w14:paraId="2FB6E567">
      <w:pPr>
        <w:pStyle w:val="6"/>
        <w:spacing w:before="112"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①细微偏差指投标文件实质性响应招标文件要求，但在个别地方存在漏项或提供了</w:t>
      </w:r>
      <w:r>
        <w:rPr>
          <w:rFonts w:hint="eastAsia" w:asciiTheme="minorEastAsia" w:hAnsiTheme="minorEastAsia" w:eastAsiaTheme="minorEastAsia" w:cstheme="minorEastAsia"/>
          <w:color w:val="auto"/>
          <w:spacing w:val="-8"/>
        </w:rPr>
        <w:t>不完整的技术信息和数据等情况，并且补正这些遗漏或不完整不会对其他投标人造成不</w:t>
      </w:r>
      <w:r>
        <w:rPr>
          <w:rFonts w:hint="eastAsia" w:asciiTheme="minorEastAsia" w:hAnsiTheme="minorEastAsia" w:eastAsiaTheme="minorEastAsia" w:cstheme="minorEastAsia"/>
          <w:color w:val="auto"/>
        </w:rPr>
        <w:t>公平的结果。细微偏差不影响投标文件的有效性。</w:t>
      </w:r>
    </w:p>
    <w:p w14:paraId="2C8B7490">
      <w:pPr>
        <w:pStyle w:val="6"/>
        <w:spacing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②评标委员会将以书面形式要求存在细微偏差的投标人在评标委员会规定的时间内予以补正。若无法补正，则评标委员会将按照不利于投标人的内容进行认定。</w:t>
      </w:r>
    </w:p>
    <w:p w14:paraId="4F0A40AC">
      <w:pPr>
        <w:pStyle w:val="24"/>
        <w:numPr>
          <w:ilvl w:val="0"/>
          <w:numId w:val="53"/>
        </w:numPr>
        <w:tabs>
          <w:tab w:val="left" w:pos="1301"/>
        </w:tabs>
        <w:spacing w:before="0" w:after="0" w:line="305" w:lineRule="exact"/>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关于投标描述（即投标文件中描述的内容）</w:t>
      </w:r>
    </w:p>
    <w:p w14:paraId="24283A42">
      <w:pPr>
        <w:pStyle w:val="6"/>
        <w:spacing w:before="109" w:line="328" w:lineRule="auto"/>
        <w:ind w:right="581"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4"/>
        </w:rPr>
        <w:t xml:space="preserve">①投标描述前后不一致且不涉及证明材料的：按照本章第 </w:t>
      </w:r>
      <w:r>
        <w:rPr>
          <w:rFonts w:hint="eastAsia" w:asciiTheme="minorEastAsia" w:hAnsiTheme="minorEastAsia" w:eastAsiaTheme="minorEastAsia" w:cstheme="minorEastAsia"/>
          <w:color w:val="auto"/>
        </w:rPr>
        <w:t xml:space="preserve">6.3 </w:t>
      </w:r>
      <w:r>
        <w:rPr>
          <w:rFonts w:hint="eastAsia" w:asciiTheme="minorEastAsia" w:hAnsiTheme="minorEastAsia" w:eastAsiaTheme="minorEastAsia" w:cstheme="minorEastAsia"/>
          <w:color w:val="auto"/>
          <w:spacing w:val="-4"/>
        </w:rPr>
        <w:t>条第（1）</w:t>
      </w:r>
      <w:r>
        <w:rPr>
          <w:rFonts w:hint="eastAsia" w:asciiTheme="minorEastAsia" w:hAnsiTheme="minorEastAsia" w:eastAsiaTheme="minorEastAsia" w:cstheme="minorEastAsia"/>
          <w:color w:val="auto"/>
          <w:spacing w:val="-12"/>
        </w:rPr>
        <w:t>、</w:t>
      </w:r>
      <w:r>
        <w:rPr>
          <w:rFonts w:hint="eastAsia" w:asciiTheme="minorEastAsia" w:hAnsiTheme="minorEastAsia" w:eastAsiaTheme="minorEastAsia" w:cstheme="minorEastAsia"/>
          <w:color w:val="auto"/>
          <w:spacing w:val="-4"/>
        </w:rPr>
        <w:t>（2）</w:t>
      </w:r>
      <w:r>
        <w:rPr>
          <w:rFonts w:hint="eastAsia" w:asciiTheme="minorEastAsia" w:hAnsiTheme="minorEastAsia" w:eastAsiaTheme="minorEastAsia" w:cstheme="minorEastAsia"/>
          <w:color w:val="auto"/>
          <w:spacing w:val="-14"/>
        </w:rPr>
        <w:t>款</w:t>
      </w:r>
      <w:r>
        <w:rPr>
          <w:rFonts w:hint="eastAsia" w:asciiTheme="minorEastAsia" w:hAnsiTheme="minorEastAsia" w:eastAsiaTheme="minorEastAsia" w:cstheme="minorEastAsia"/>
          <w:color w:val="auto"/>
        </w:rPr>
        <w:t>规定执行。</w:t>
      </w:r>
    </w:p>
    <w:p w14:paraId="4C4DC7AE">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②投标描述与证明材料不一致或多份证明材料之间不一致的：</w:t>
      </w:r>
    </w:p>
    <w:p w14:paraId="45C3F5F1">
      <w:pPr>
        <w:pStyle w:val="24"/>
        <w:numPr>
          <w:ilvl w:val="0"/>
          <w:numId w:val="54"/>
        </w:numPr>
        <w:tabs>
          <w:tab w:val="left" w:pos="877"/>
        </w:tabs>
        <w:spacing w:before="112" w:after="0" w:line="240" w:lineRule="auto"/>
        <w:ind w:left="876" w:right="0" w:hanging="176"/>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评标委员会将要求投标人进行书面澄清，并按照不利于投标人的内容进行评标。</w:t>
      </w:r>
    </w:p>
    <w:p w14:paraId="3CDC8952">
      <w:pPr>
        <w:pStyle w:val="24"/>
        <w:numPr>
          <w:ilvl w:val="0"/>
          <w:numId w:val="54"/>
        </w:numPr>
        <w:tabs>
          <w:tab w:val="left" w:pos="889"/>
        </w:tabs>
        <w:spacing w:before="39" w:after="0" w:line="328"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4"/>
          <w:sz w:val="24"/>
        </w:rPr>
        <w:t>投标人按照要求进行澄清的，采购人以澄清内容为准进行验收；投标人未按照要</w:t>
      </w:r>
      <w:r>
        <w:rPr>
          <w:rFonts w:hint="eastAsia" w:asciiTheme="minorEastAsia" w:hAnsiTheme="minorEastAsia" w:eastAsiaTheme="minorEastAsia" w:cstheme="minorEastAsia"/>
          <w:color w:val="auto"/>
          <w:spacing w:val="-10"/>
          <w:sz w:val="24"/>
        </w:rPr>
        <w:t>求进行澄清的，采购人以投标描述或证明材料中有利于采购人的内容进行验收。投标人</w:t>
      </w:r>
      <w:r>
        <w:rPr>
          <w:rFonts w:hint="eastAsia" w:asciiTheme="minorEastAsia" w:hAnsiTheme="minorEastAsia" w:eastAsiaTheme="minorEastAsia" w:cstheme="minorEastAsia"/>
          <w:color w:val="auto"/>
          <w:sz w:val="24"/>
        </w:rPr>
        <w:t>应对证明材料的真实性、有效性承担责任。</w:t>
      </w:r>
    </w:p>
    <w:p w14:paraId="24542D38">
      <w:pPr>
        <w:pStyle w:val="6"/>
        <w:spacing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7"/>
        </w:rPr>
        <w:t>③若中标人的投标描述存在前后不一致、与证明材料不一致或多份证明材料之间不一致情形之一但在评标中未能发现，则采购人将以投标描述或证明材料中有利于采购人</w:t>
      </w:r>
      <w:r>
        <w:rPr>
          <w:rFonts w:hint="eastAsia" w:asciiTheme="minorEastAsia" w:hAnsiTheme="minorEastAsia" w:eastAsiaTheme="minorEastAsia" w:cstheme="minorEastAsia"/>
          <w:color w:val="auto"/>
        </w:rPr>
        <w:t>的内容进行验收，中标人应自行承担由此产生的风险及费用。</w:t>
      </w:r>
    </w:p>
    <w:p w14:paraId="66BDCB82">
      <w:pPr>
        <w:pStyle w:val="24"/>
        <w:numPr>
          <w:ilvl w:val="1"/>
          <w:numId w:val="50"/>
        </w:numPr>
        <w:tabs>
          <w:tab w:val="left" w:pos="1063"/>
        </w:tabs>
        <w:spacing w:before="0" w:after="0" w:line="304" w:lineRule="exact"/>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比较与评价</w:t>
      </w:r>
    </w:p>
    <w:p w14:paraId="3CA10D6F">
      <w:pPr>
        <w:pStyle w:val="24"/>
        <w:numPr>
          <w:ilvl w:val="0"/>
          <w:numId w:val="55"/>
        </w:numPr>
        <w:tabs>
          <w:tab w:val="left" w:pos="1304"/>
        </w:tabs>
        <w:spacing w:before="108" w:after="0" w:line="328"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9"/>
          <w:sz w:val="24"/>
        </w:rPr>
        <w:t xml:space="preserve">按照本章第 </w:t>
      </w:r>
      <w:r>
        <w:rPr>
          <w:rFonts w:hint="eastAsia" w:asciiTheme="minorEastAsia" w:hAnsiTheme="minorEastAsia" w:eastAsiaTheme="minorEastAsia" w:cstheme="minorEastAsia"/>
          <w:color w:val="auto"/>
          <w:sz w:val="24"/>
        </w:rPr>
        <w:t>7</w:t>
      </w:r>
      <w:r>
        <w:rPr>
          <w:rFonts w:hint="eastAsia" w:asciiTheme="minorEastAsia" w:hAnsiTheme="minorEastAsia" w:eastAsiaTheme="minorEastAsia" w:cstheme="minorEastAsia"/>
          <w:color w:val="auto"/>
          <w:spacing w:val="15"/>
          <w:sz w:val="24"/>
        </w:rPr>
        <w:t xml:space="preserve"> </w:t>
      </w:r>
      <w:r>
        <w:rPr>
          <w:rFonts w:hint="eastAsia" w:asciiTheme="minorEastAsia" w:hAnsiTheme="minorEastAsia" w:eastAsiaTheme="minorEastAsia" w:cstheme="minorEastAsia"/>
          <w:color w:val="auto"/>
          <w:spacing w:val="-1"/>
          <w:sz w:val="24"/>
        </w:rPr>
        <w:t>条载明的评标方法和标准，对符合性审查合格的投标文件进行</w:t>
      </w:r>
      <w:r>
        <w:rPr>
          <w:rFonts w:hint="eastAsia" w:asciiTheme="minorEastAsia" w:hAnsiTheme="minorEastAsia" w:eastAsiaTheme="minorEastAsia" w:cstheme="minorEastAsia"/>
          <w:color w:val="auto"/>
          <w:sz w:val="24"/>
        </w:rPr>
        <w:t>比较与评价。</w:t>
      </w:r>
    </w:p>
    <w:p w14:paraId="77C46822">
      <w:pPr>
        <w:pStyle w:val="24"/>
        <w:numPr>
          <w:ilvl w:val="0"/>
          <w:numId w:val="55"/>
        </w:numPr>
        <w:tabs>
          <w:tab w:val="left" w:pos="1301"/>
        </w:tabs>
        <w:spacing w:before="0" w:after="0" w:line="305" w:lineRule="exact"/>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关于相同品牌产品（政府采购服务类项目不适用本条款规定）</w:t>
      </w:r>
    </w:p>
    <w:p w14:paraId="44AEED8E">
      <w:pPr>
        <w:pStyle w:val="6"/>
        <w:spacing w:before="113" w:line="328" w:lineRule="auto"/>
        <w:ind w:right="33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0"/>
        </w:rPr>
        <w:t xml:space="preserve">①采用最低评标价法的，提供相同品牌产品的不同投标人参加同一合同项下投标的， </w:t>
      </w:r>
      <w:r>
        <w:rPr>
          <w:rFonts w:hint="eastAsia" w:asciiTheme="minorEastAsia" w:hAnsiTheme="minorEastAsia" w:eastAsiaTheme="minorEastAsia" w:cstheme="minorEastAsia"/>
          <w:color w:val="auto"/>
          <w:spacing w:val="-7"/>
        </w:rPr>
        <w:t>以其中通过资格审查、符合性审查且报价最低的参加评标；报价相同的，由评标委员会 按照下列方式确定一个参加评标的投标人：</w:t>
      </w:r>
    </w:p>
    <w:p w14:paraId="200033EB">
      <w:pPr>
        <w:pStyle w:val="24"/>
        <w:numPr>
          <w:ilvl w:val="0"/>
          <w:numId w:val="56"/>
        </w:numPr>
        <w:tabs>
          <w:tab w:val="left" w:pos="877"/>
        </w:tabs>
        <w:spacing w:before="0" w:after="0" w:line="304" w:lineRule="exact"/>
        <w:ind w:left="876" w:right="0" w:hanging="176"/>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招标文件规定的方式：无。</w:t>
      </w:r>
    </w:p>
    <w:p w14:paraId="3C72846A">
      <w:pPr>
        <w:pStyle w:val="24"/>
        <w:numPr>
          <w:ilvl w:val="0"/>
          <w:numId w:val="56"/>
        </w:numPr>
        <w:tabs>
          <w:tab w:val="left" w:pos="889"/>
        </w:tabs>
        <w:spacing w:before="112" w:after="0" w:line="240" w:lineRule="auto"/>
        <w:ind w:left="888" w:right="0" w:hanging="188"/>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招标文件未规定的，采取随机抽取方式确定，其他投标无效。</w:t>
      </w:r>
    </w:p>
    <w:p w14:paraId="62170003">
      <w:pPr>
        <w:pStyle w:val="6"/>
        <w:spacing w:before="113" w:line="328"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8"/>
        </w:rPr>
        <w:t>②采用综合评分法的，提供相同品牌产品且通过资格审查、符合性审查的不同投标</w:t>
      </w:r>
      <w:r>
        <w:rPr>
          <w:rFonts w:hint="eastAsia" w:asciiTheme="minorEastAsia" w:hAnsiTheme="minorEastAsia" w:eastAsiaTheme="minorEastAsia" w:cstheme="minorEastAsia"/>
          <w:color w:val="auto"/>
          <w:spacing w:val="-7"/>
        </w:rPr>
        <w:t>人参加同一合同项下投标的，按一家投标人计算，评审后得分最高的同品牌投标人作为</w:t>
      </w:r>
      <w:r>
        <w:rPr>
          <w:rFonts w:hint="eastAsia" w:asciiTheme="minorEastAsia" w:hAnsiTheme="minorEastAsia" w:eastAsiaTheme="minorEastAsia" w:cstheme="minorEastAsia"/>
          <w:color w:val="auto"/>
          <w:spacing w:val="-10"/>
        </w:rPr>
        <w:t>中标候选人推荐；评审得分相同的，由评标委员会按照下列方式确定一个投标人作为中</w:t>
      </w:r>
      <w:r>
        <w:rPr>
          <w:rFonts w:hint="eastAsia" w:asciiTheme="minorEastAsia" w:hAnsiTheme="minorEastAsia" w:eastAsiaTheme="minorEastAsia" w:cstheme="minorEastAsia"/>
          <w:color w:val="auto"/>
        </w:rPr>
        <w:t>标候选人推荐：</w:t>
      </w:r>
    </w:p>
    <w:p w14:paraId="5BC93358">
      <w:pPr>
        <w:pStyle w:val="24"/>
        <w:numPr>
          <w:ilvl w:val="0"/>
          <w:numId w:val="57"/>
        </w:numPr>
        <w:tabs>
          <w:tab w:val="left" w:pos="877"/>
        </w:tabs>
        <w:spacing w:before="0" w:after="0" w:line="302" w:lineRule="exact"/>
        <w:ind w:left="876" w:right="0" w:hanging="176"/>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招标文件规定的方式：</w:t>
      </w:r>
    </w:p>
    <w:p w14:paraId="494ED007">
      <w:pPr>
        <w:pStyle w:val="6"/>
        <w:spacing w:before="112" w:line="328" w:lineRule="auto"/>
        <w:ind w:right="457"/>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8"/>
        </w:rPr>
        <w:t>评审得分相同的，则按“投标报价”高低排序，投标总价低的排序在前；若投标人的评</w:t>
      </w:r>
      <w:r>
        <w:rPr>
          <w:rFonts w:hint="eastAsia" w:asciiTheme="minorEastAsia" w:hAnsiTheme="minorEastAsia" w:eastAsiaTheme="minorEastAsia" w:cstheme="minorEastAsia"/>
          <w:color w:val="auto"/>
          <w:spacing w:val="-12"/>
        </w:rPr>
        <w:t>审总得分相同且投标报价也相同的，则按“技术部分”的得分高低排序；若投标人的评</w:t>
      </w:r>
      <w:r>
        <w:rPr>
          <w:rFonts w:hint="eastAsia" w:asciiTheme="minorEastAsia" w:hAnsiTheme="minorEastAsia" w:eastAsiaTheme="minorEastAsia" w:cstheme="minorEastAsia"/>
          <w:color w:val="auto"/>
          <w:spacing w:val="-20"/>
        </w:rPr>
        <w:t xml:space="preserve">审总得分相同且投标报价与技术部分得分也相同的，则按“商务部分”的得分高低排序； </w:t>
      </w:r>
      <w:r>
        <w:rPr>
          <w:rFonts w:hint="eastAsia" w:asciiTheme="minorEastAsia" w:hAnsiTheme="minorEastAsia" w:eastAsiaTheme="minorEastAsia" w:cstheme="minorEastAsia"/>
          <w:color w:val="auto"/>
          <w:spacing w:val="-8"/>
        </w:rPr>
        <w:t>若评审总得分相同、投标报价相同且技术部分得分与商务部分得分也相同的，则采取随机抽取方式确定；其他同品牌投标人不作为中标候选人。</w:t>
      </w:r>
    </w:p>
    <w:p w14:paraId="58FE1398">
      <w:pPr>
        <w:pStyle w:val="24"/>
        <w:numPr>
          <w:ilvl w:val="0"/>
          <w:numId w:val="57"/>
        </w:numPr>
        <w:tabs>
          <w:tab w:val="left" w:pos="889"/>
        </w:tabs>
        <w:spacing w:before="0" w:after="0" w:line="328"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rPr>
        <w:t>招标文件未规定的，采取随机抽取方式确定，其他同品牌投标人不作为中标候选</w:t>
      </w:r>
      <w:r>
        <w:rPr>
          <w:rFonts w:hint="eastAsia" w:asciiTheme="minorEastAsia" w:hAnsiTheme="minorEastAsia" w:eastAsiaTheme="minorEastAsia" w:cstheme="minorEastAsia"/>
          <w:color w:val="auto"/>
          <w:sz w:val="24"/>
        </w:rPr>
        <w:t>人。</w:t>
      </w:r>
    </w:p>
    <w:p w14:paraId="106F7DE8">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③非单一产品采购项目，多家投标人提供的核心产品品牌相同的，按照本章第 6.4</w:t>
      </w:r>
    </w:p>
    <w:p w14:paraId="3B482817">
      <w:pPr>
        <w:pStyle w:val="6"/>
        <w:spacing w:before="106"/>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条第（2）款第①、②规定处理。</w:t>
      </w:r>
    </w:p>
    <w:p w14:paraId="3A6ED400">
      <w:pPr>
        <w:pStyle w:val="24"/>
        <w:numPr>
          <w:ilvl w:val="0"/>
          <w:numId w:val="55"/>
        </w:numPr>
        <w:tabs>
          <w:tab w:val="left" w:pos="1301"/>
        </w:tabs>
        <w:spacing w:before="113"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漏（缺）项</w:t>
      </w:r>
    </w:p>
    <w:p w14:paraId="44B03677">
      <w:pPr>
        <w:pStyle w:val="6"/>
        <w:spacing w:before="112"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
        </w:rPr>
        <w:t>①招标文件中要求列入报价的费用</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spacing w:val="-4"/>
        </w:rPr>
        <w:t>含配置、功能</w:t>
      </w:r>
      <w:r>
        <w:rPr>
          <w:rFonts w:hint="eastAsia" w:asciiTheme="minorEastAsia" w:hAnsiTheme="minorEastAsia" w:eastAsiaTheme="minorEastAsia" w:cstheme="minorEastAsia"/>
          <w:color w:val="auto"/>
          <w:spacing w:val="-16"/>
        </w:rPr>
        <w:t>）</w:t>
      </w:r>
      <w:r>
        <w:rPr>
          <w:rFonts w:hint="eastAsia" w:asciiTheme="minorEastAsia" w:hAnsiTheme="minorEastAsia" w:eastAsiaTheme="minorEastAsia" w:cstheme="minorEastAsia"/>
          <w:color w:val="auto"/>
          <w:spacing w:val="-17"/>
        </w:rPr>
        <w:t>，漏</w:t>
      </w:r>
      <w:r>
        <w:rPr>
          <w:rFonts w:hint="eastAsia" w:asciiTheme="minorEastAsia" w:hAnsiTheme="minorEastAsia" w:eastAsiaTheme="minorEastAsia" w:cstheme="minorEastAsia"/>
          <w:color w:val="auto"/>
        </w:rPr>
        <w:t>（缺</w:t>
      </w:r>
      <w:r>
        <w:rPr>
          <w:rFonts w:hint="eastAsia" w:asciiTheme="minorEastAsia" w:hAnsiTheme="minorEastAsia" w:eastAsiaTheme="minorEastAsia" w:cstheme="minorEastAsia"/>
          <w:color w:val="auto"/>
          <w:spacing w:val="-15"/>
        </w:rPr>
        <w:t>）</w:t>
      </w:r>
      <w:r>
        <w:rPr>
          <w:rFonts w:hint="eastAsia" w:asciiTheme="minorEastAsia" w:hAnsiTheme="minorEastAsia" w:eastAsiaTheme="minorEastAsia" w:cstheme="minorEastAsia"/>
          <w:color w:val="auto"/>
          <w:spacing w:val="-2"/>
        </w:rPr>
        <w:t>项的报价视为已经</w:t>
      </w:r>
      <w:r>
        <w:rPr>
          <w:rFonts w:hint="eastAsia" w:asciiTheme="minorEastAsia" w:hAnsiTheme="minorEastAsia" w:eastAsiaTheme="minorEastAsia" w:cstheme="minorEastAsia"/>
          <w:color w:val="auto"/>
        </w:rPr>
        <w:t>包括在投标总价中。</w:t>
      </w:r>
    </w:p>
    <w:p w14:paraId="5C71AA8E">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②对多报项及赠送项的价格评标时不予核减，全部进入评标价评议。</w:t>
      </w:r>
    </w:p>
    <w:p w14:paraId="585404BE">
      <w:pPr>
        <w:pStyle w:val="24"/>
        <w:numPr>
          <w:ilvl w:val="1"/>
          <w:numId w:val="50"/>
        </w:numPr>
        <w:tabs>
          <w:tab w:val="left" w:pos="1063"/>
        </w:tabs>
        <w:spacing w:before="39"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rPr>
        <w:t xml:space="preserve">推荐中标候选人：详见本章第 </w:t>
      </w:r>
      <w:r>
        <w:rPr>
          <w:rFonts w:hint="eastAsia" w:asciiTheme="minorEastAsia" w:hAnsiTheme="minorEastAsia" w:eastAsiaTheme="minorEastAsia" w:cstheme="minorEastAsia"/>
          <w:color w:val="auto"/>
          <w:sz w:val="24"/>
        </w:rPr>
        <w:t>7.2</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z w:val="24"/>
        </w:rPr>
        <w:t>条规定。</w:t>
      </w:r>
    </w:p>
    <w:p w14:paraId="5C501937">
      <w:pPr>
        <w:pStyle w:val="24"/>
        <w:numPr>
          <w:ilvl w:val="1"/>
          <w:numId w:val="50"/>
        </w:numPr>
        <w:tabs>
          <w:tab w:val="left" w:pos="1063"/>
        </w:tabs>
        <w:spacing w:before="112"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编写评标报告</w:t>
      </w:r>
    </w:p>
    <w:p w14:paraId="1FF89EC2">
      <w:pPr>
        <w:pStyle w:val="24"/>
        <w:numPr>
          <w:ilvl w:val="0"/>
          <w:numId w:val="58"/>
        </w:numPr>
        <w:tabs>
          <w:tab w:val="left" w:pos="1301"/>
        </w:tabs>
        <w:spacing w:before="113"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评标报告由评标委员会负责编写。</w:t>
      </w:r>
    </w:p>
    <w:p w14:paraId="57A09D9A">
      <w:pPr>
        <w:pStyle w:val="24"/>
        <w:numPr>
          <w:ilvl w:val="0"/>
          <w:numId w:val="58"/>
        </w:numPr>
        <w:tabs>
          <w:tab w:val="left" w:pos="1301"/>
        </w:tabs>
        <w:spacing w:before="112"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评标报告应包括下列内容：</w:t>
      </w:r>
    </w:p>
    <w:p w14:paraId="1F57EB75">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①招标公告刊登的媒体名称、开标日期和地点；</w:t>
      </w:r>
    </w:p>
    <w:p w14:paraId="4311236A">
      <w:pPr>
        <w:pStyle w:val="6"/>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②投标人名单和评标委员会成员名单；</w:t>
      </w:r>
    </w:p>
    <w:p w14:paraId="41BDEF22">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③评标方法和标准；</w:t>
      </w:r>
    </w:p>
    <w:p w14:paraId="02428D36">
      <w:pPr>
        <w:pStyle w:val="6"/>
        <w:spacing w:before="11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④开标记录和评标情况及说明，包括无效投标人名单及原因；</w:t>
      </w:r>
    </w:p>
    <w:p w14:paraId="52112855">
      <w:pPr>
        <w:pStyle w:val="6"/>
        <w:spacing w:before="1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⑤评标结果，包括中标候选人名单或确定的中标人；</w:t>
      </w:r>
    </w:p>
    <w:p w14:paraId="34DF6E38">
      <w:pPr>
        <w:pStyle w:val="6"/>
        <w:spacing w:before="112" w:line="328" w:lineRule="auto"/>
        <w:ind w:right="485"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⑥其他需要说明的情况，包括但不限于：评标过程中投标人的澄清、说明或补正， 评委更换等。</w:t>
      </w:r>
    </w:p>
    <w:p w14:paraId="5DC8ADD4">
      <w:pPr>
        <w:pStyle w:val="24"/>
        <w:numPr>
          <w:ilvl w:val="1"/>
          <w:numId w:val="50"/>
        </w:numPr>
        <w:tabs>
          <w:tab w:val="left" w:pos="1065"/>
        </w:tabs>
        <w:spacing w:before="0" w:after="0" w:line="328" w:lineRule="auto"/>
        <w:ind w:left="220" w:right="33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 xml:space="preserve">评标委员会认为投标人的报价明显低于其他通过符合性审查投标人的报价，有 </w:t>
      </w:r>
      <w:r>
        <w:rPr>
          <w:rFonts w:hint="eastAsia" w:asciiTheme="minorEastAsia" w:hAnsiTheme="minorEastAsia" w:eastAsiaTheme="minorEastAsia" w:cstheme="minorEastAsia"/>
          <w:color w:val="auto"/>
          <w:spacing w:val="-7"/>
          <w:sz w:val="24"/>
        </w:rPr>
        <w:t xml:space="preserve">可能影响产品质量或不能诚信履约的，应要求其在评标现场合理的时间内提供书面说明， </w:t>
      </w:r>
      <w:r>
        <w:rPr>
          <w:rFonts w:hint="eastAsia" w:asciiTheme="minorEastAsia" w:hAnsiTheme="minorEastAsia" w:eastAsiaTheme="minorEastAsia" w:cstheme="minorEastAsia"/>
          <w:color w:val="auto"/>
          <w:spacing w:val="-5"/>
          <w:sz w:val="24"/>
        </w:rPr>
        <w:t>必要时还应要求其一并提交有关证明材料；投标人不能证明其报价合理性的，评标委员 会应将其作为投标无效处理。</w:t>
      </w:r>
    </w:p>
    <w:p w14:paraId="01E98E93">
      <w:pPr>
        <w:pStyle w:val="24"/>
        <w:numPr>
          <w:ilvl w:val="1"/>
          <w:numId w:val="50"/>
        </w:numPr>
        <w:tabs>
          <w:tab w:val="left" w:pos="1063"/>
        </w:tabs>
        <w:spacing w:before="0" w:after="0" w:line="328" w:lineRule="auto"/>
        <w:ind w:left="220" w:right="45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7"/>
          <w:sz w:val="24"/>
        </w:rPr>
        <w:t>评委对需要共同认定的事项存在争议的，应按照少数服从多数的原则进行认定。</w:t>
      </w:r>
      <w:r>
        <w:rPr>
          <w:rFonts w:hint="eastAsia" w:asciiTheme="minorEastAsia" w:hAnsiTheme="minorEastAsia" w:eastAsiaTheme="minorEastAsia" w:cstheme="minorEastAsia"/>
          <w:color w:val="auto"/>
          <w:sz w:val="24"/>
        </w:rPr>
        <w:t>持不同意见的评委应在评标报告上签署不同意见及理由，否则视为同意评标报告。</w:t>
      </w:r>
    </w:p>
    <w:p w14:paraId="3F708604">
      <w:pPr>
        <w:pStyle w:val="24"/>
        <w:numPr>
          <w:ilvl w:val="1"/>
          <w:numId w:val="50"/>
        </w:numPr>
        <w:tabs>
          <w:tab w:val="left" w:pos="1065"/>
        </w:tabs>
        <w:spacing w:before="0" w:after="0" w:line="328"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 xml:space="preserve">在评标过程中发现投标人有下列情形之一的，评标委员会应认定其投标无效， </w:t>
      </w:r>
      <w:r>
        <w:rPr>
          <w:rFonts w:hint="eastAsia" w:asciiTheme="minorEastAsia" w:hAnsiTheme="minorEastAsia" w:eastAsiaTheme="minorEastAsia" w:cstheme="minorEastAsia"/>
          <w:color w:val="auto"/>
          <w:sz w:val="24"/>
        </w:rPr>
        <w:t>并书面报告本项目监督管理部门：</w:t>
      </w:r>
    </w:p>
    <w:p w14:paraId="36620F0D">
      <w:pPr>
        <w:pStyle w:val="24"/>
        <w:numPr>
          <w:ilvl w:val="0"/>
          <w:numId w:val="59"/>
        </w:numPr>
        <w:tabs>
          <w:tab w:val="left" w:pos="1301"/>
        </w:tabs>
        <w:spacing w:before="0" w:after="0" w:line="305" w:lineRule="exact"/>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恶意串通（</w:t>
      </w:r>
      <w:r>
        <w:rPr>
          <w:rFonts w:hint="eastAsia" w:asciiTheme="minorEastAsia" w:hAnsiTheme="minorEastAsia" w:eastAsiaTheme="minorEastAsia" w:cstheme="minorEastAsia"/>
          <w:color w:val="auto"/>
          <w:spacing w:val="-5"/>
          <w:sz w:val="24"/>
        </w:rPr>
        <w:t xml:space="preserve">包括但不限于招标文件第三章第 </w:t>
      </w:r>
      <w:r>
        <w:rPr>
          <w:rFonts w:hint="eastAsia" w:asciiTheme="minorEastAsia" w:hAnsiTheme="minorEastAsia" w:eastAsiaTheme="minorEastAsia" w:cstheme="minorEastAsia"/>
          <w:color w:val="auto"/>
          <w:sz w:val="24"/>
        </w:rPr>
        <w:t>9.7</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z w:val="24"/>
        </w:rPr>
        <w:t>条规定情形）；</w:t>
      </w:r>
    </w:p>
    <w:p w14:paraId="61158424">
      <w:pPr>
        <w:pStyle w:val="24"/>
        <w:numPr>
          <w:ilvl w:val="0"/>
          <w:numId w:val="59"/>
        </w:numPr>
        <w:tabs>
          <w:tab w:val="left" w:pos="1301"/>
        </w:tabs>
        <w:spacing w:before="103"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妨碍其他投标人的竞争行为；</w:t>
      </w:r>
    </w:p>
    <w:p w14:paraId="17C28FFC">
      <w:pPr>
        <w:pStyle w:val="24"/>
        <w:numPr>
          <w:ilvl w:val="0"/>
          <w:numId w:val="59"/>
        </w:numPr>
        <w:tabs>
          <w:tab w:val="left" w:pos="1301"/>
        </w:tabs>
        <w:spacing w:before="112"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损害采购人或其他投标人的合法权益。</w:t>
      </w:r>
    </w:p>
    <w:p w14:paraId="05C1061F">
      <w:pPr>
        <w:pStyle w:val="24"/>
        <w:numPr>
          <w:ilvl w:val="1"/>
          <w:numId w:val="50"/>
        </w:numPr>
        <w:tabs>
          <w:tab w:val="left" w:pos="1185"/>
        </w:tabs>
        <w:spacing w:before="113" w:after="0" w:line="240" w:lineRule="auto"/>
        <w:ind w:left="1184" w:right="0" w:hanging="484"/>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评标过程中，有下列情形之一的，应予废标：</w:t>
      </w:r>
    </w:p>
    <w:p w14:paraId="2DADA430">
      <w:pPr>
        <w:pStyle w:val="24"/>
        <w:numPr>
          <w:ilvl w:val="0"/>
          <w:numId w:val="60"/>
        </w:numPr>
        <w:tabs>
          <w:tab w:val="left" w:pos="1301"/>
        </w:tabs>
        <w:spacing w:before="112"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符合性审查合格的投标人不足三家的；</w:t>
      </w:r>
    </w:p>
    <w:p w14:paraId="397FCC97">
      <w:pPr>
        <w:pStyle w:val="24"/>
        <w:numPr>
          <w:ilvl w:val="0"/>
          <w:numId w:val="60"/>
        </w:numPr>
        <w:tabs>
          <w:tab w:val="left" w:pos="1301"/>
        </w:tabs>
        <w:spacing w:before="112"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有关法律、法规和规章规定废标的情形。</w:t>
      </w:r>
    </w:p>
    <w:p w14:paraId="4E384084">
      <w:pPr>
        <w:pStyle w:val="6"/>
        <w:spacing w:before="113" w:line="328"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1"/>
        </w:rPr>
        <w:t>※若废标，则本次采购活动结束，</w:t>
      </w:r>
      <w:r>
        <w:rPr>
          <w:rFonts w:hint="eastAsia" w:asciiTheme="minorEastAsia" w:hAnsiTheme="minorEastAsia" w:eastAsiaTheme="minorEastAsia" w:cstheme="minorEastAsia"/>
          <w:color w:val="auto"/>
          <w:spacing w:val="-11"/>
          <w:lang w:eastAsia="zh-CN"/>
        </w:rPr>
        <w:t>锐驰项目管理有限公司</w:t>
      </w:r>
      <w:r>
        <w:rPr>
          <w:rFonts w:hint="eastAsia" w:asciiTheme="minorEastAsia" w:hAnsiTheme="minorEastAsia" w:eastAsiaTheme="minorEastAsia" w:cstheme="minorEastAsia"/>
          <w:color w:val="auto"/>
          <w:spacing w:val="-11"/>
        </w:rPr>
        <w:t>将依法组织后续采购</w:t>
      </w:r>
      <w:r>
        <w:rPr>
          <w:rFonts w:hint="eastAsia" w:asciiTheme="minorEastAsia" w:hAnsiTheme="minorEastAsia" w:eastAsiaTheme="minorEastAsia" w:cstheme="minorEastAsia"/>
          <w:color w:val="auto"/>
        </w:rPr>
        <w:t>活动（包括但不限于：重新招标、采用其他方式采购等）。</w:t>
      </w:r>
    </w:p>
    <w:p w14:paraId="61A2DACD">
      <w:pPr>
        <w:pStyle w:val="6"/>
        <w:spacing w:line="305" w:lineRule="exact"/>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7、评标方法和标准</w:t>
      </w:r>
    </w:p>
    <w:p w14:paraId="55348EA8">
      <w:pPr>
        <w:pStyle w:val="24"/>
        <w:numPr>
          <w:ilvl w:val="0"/>
          <w:numId w:val="0"/>
        </w:numPr>
        <w:tabs>
          <w:tab w:val="left" w:pos="1063"/>
        </w:tabs>
        <w:spacing w:before="112"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7.1</w:t>
      </w:r>
      <w:r>
        <w:rPr>
          <w:rFonts w:hint="eastAsia" w:asciiTheme="minorEastAsia" w:hAnsiTheme="minorEastAsia" w:eastAsiaTheme="minorEastAsia" w:cstheme="minorEastAsia"/>
          <w:color w:val="auto"/>
          <w:sz w:val="24"/>
        </w:rPr>
        <w:t>评标方法：</w:t>
      </w:r>
    </w:p>
    <w:p w14:paraId="56A9C48E">
      <w:pPr>
        <w:pStyle w:val="4"/>
        <w:spacing w:before="113"/>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采购包 1：综合评分法</w:t>
      </w:r>
    </w:p>
    <w:p w14:paraId="68A94C0A">
      <w:pPr>
        <w:pStyle w:val="24"/>
        <w:numPr>
          <w:ilvl w:val="0"/>
          <w:numId w:val="0"/>
        </w:numPr>
        <w:tabs>
          <w:tab w:val="left" w:pos="1063"/>
        </w:tabs>
        <w:spacing w:before="112" w:after="0" w:line="240" w:lineRule="auto"/>
        <w:ind w:left="70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7.2</w:t>
      </w:r>
      <w:r>
        <w:rPr>
          <w:rFonts w:hint="eastAsia" w:asciiTheme="minorEastAsia" w:hAnsiTheme="minorEastAsia" w:eastAsiaTheme="minorEastAsia" w:cstheme="minorEastAsia"/>
          <w:color w:val="auto"/>
          <w:sz w:val="24"/>
        </w:rPr>
        <w:t>评标标准</w:t>
      </w:r>
    </w:p>
    <w:p w14:paraId="3FF578E2">
      <w:pPr>
        <w:spacing w:before="39"/>
        <w:ind w:left="220" w:right="0" w:firstLine="0"/>
        <w:jc w:val="left"/>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b/>
          <w:color w:val="auto"/>
          <w:sz w:val="24"/>
        </w:rPr>
        <w:t>采购包 1：综合评分法</w:t>
      </w:r>
    </w:p>
    <w:p w14:paraId="3A586D84">
      <w:pPr>
        <w:pStyle w:val="24"/>
        <w:numPr>
          <w:ilvl w:val="0"/>
          <w:numId w:val="0"/>
        </w:numPr>
        <w:tabs>
          <w:tab w:val="left" w:pos="821"/>
        </w:tabs>
        <w:spacing w:before="112" w:after="0" w:line="328" w:lineRule="auto"/>
        <w:ind w:left="220" w:leftChars="0" w:right="577"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lang w:eastAsia="zh-CN"/>
        </w:rPr>
        <w:t>（</w:t>
      </w:r>
      <w:r>
        <w:rPr>
          <w:rFonts w:hint="eastAsia" w:asciiTheme="minorEastAsia" w:hAnsiTheme="minorEastAsia" w:eastAsiaTheme="minorEastAsia" w:cstheme="minorEastAsia"/>
          <w:color w:val="auto"/>
          <w:spacing w:val="-6"/>
          <w:sz w:val="24"/>
          <w:lang w:val="en-US" w:eastAsia="zh-CN"/>
        </w:rPr>
        <w:t>1</w:t>
      </w:r>
      <w:r>
        <w:rPr>
          <w:rFonts w:hint="eastAsia" w:asciiTheme="minorEastAsia" w:hAnsiTheme="minorEastAsia" w:eastAsiaTheme="minorEastAsia" w:cstheme="minorEastAsia"/>
          <w:color w:val="auto"/>
          <w:spacing w:val="-6"/>
          <w:sz w:val="24"/>
          <w:lang w:eastAsia="zh-CN"/>
        </w:rPr>
        <w:t>）</w:t>
      </w:r>
      <w:r>
        <w:rPr>
          <w:rFonts w:hint="eastAsia" w:asciiTheme="minorEastAsia" w:hAnsiTheme="minorEastAsia" w:eastAsiaTheme="minorEastAsia" w:cstheme="minorEastAsia"/>
          <w:color w:val="auto"/>
          <w:spacing w:val="-6"/>
          <w:sz w:val="24"/>
        </w:rPr>
        <w:t>投标文件满足招标文件全部实质性要求，且按照评审因素的量化指标评审得分</w:t>
      </w:r>
      <w:r>
        <w:rPr>
          <w:rFonts w:hint="eastAsia" w:asciiTheme="minorEastAsia" w:hAnsiTheme="minorEastAsia" w:eastAsiaTheme="minorEastAsia" w:cstheme="minorEastAsia"/>
          <w:color w:val="auto"/>
          <w:sz w:val="24"/>
        </w:rPr>
        <w:t xml:space="preserve">（ </w:t>
      </w:r>
      <w:r>
        <w:rPr>
          <w:rFonts w:hint="eastAsia" w:asciiTheme="minorEastAsia" w:hAnsiTheme="minorEastAsia" w:eastAsiaTheme="minorEastAsia" w:cstheme="minorEastAsia"/>
          <w:color w:val="auto"/>
          <w:spacing w:val="-4"/>
          <w:sz w:val="24"/>
        </w:rPr>
        <w:t>即评标总得分</w:t>
      </w:r>
      <w:r>
        <w:rPr>
          <w:rFonts w:hint="eastAsia" w:asciiTheme="minorEastAsia" w:hAnsiTheme="minorEastAsia" w:eastAsiaTheme="minorEastAsia" w:cstheme="minorEastAsia"/>
          <w:color w:val="auto"/>
          <w:sz w:val="24"/>
        </w:rPr>
        <w:t>）最高的投标人为中标候选人。</w:t>
      </w:r>
    </w:p>
    <w:p w14:paraId="76FECD3D">
      <w:pPr>
        <w:pStyle w:val="24"/>
        <w:numPr>
          <w:ilvl w:val="0"/>
          <w:numId w:val="0"/>
        </w:numPr>
        <w:tabs>
          <w:tab w:val="left" w:pos="821"/>
        </w:tabs>
        <w:spacing w:before="0" w:after="0" w:line="305" w:lineRule="exact"/>
        <w:ind w:left="22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lang w:eastAsia="zh-CN"/>
        </w:rPr>
        <w:t>（</w:t>
      </w:r>
      <w:r>
        <w:rPr>
          <w:rFonts w:hint="eastAsia" w:asciiTheme="minorEastAsia" w:hAnsiTheme="minorEastAsia" w:eastAsiaTheme="minorEastAsia" w:cstheme="minorEastAsia"/>
          <w:color w:val="auto"/>
          <w:spacing w:val="-5"/>
          <w:sz w:val="24"/>
          <w:lang w:val="en-US" w:eastAsia="zh-CN"/>
        </w:rPr>
        <w:t>2</w:t>
      </w:r>
      <w:r>
        <w:rPr>
          <w:rFonts w:hint="eastAsia" w:asciiTheme="minorEastAsia" w:hAnsiTheme="minorEastAsia" w:eastAsiaTheme="minorEastAsia" w:cstheme="minorEastAsia"/>
          <w:color w:val="auto"/>
          <w:spacing w:val="-5"/>
          <w:sz w:val="24"/>
          <w:lang w:eastAsia="zh-CN"/>
        </w:rPr>
        <w:t>）</w:t>
      </w:r>
      <w:r>
        <w:rPr>
          <w:rFonts w:hint="eastAsia" w:asciiTheme="minorEastAsia" w:hAnsiTheme="minorEastAsia" w:eastAsiaTheme="minorEastAsia" w:cstheme="minorEastAsia"/>
          <w:color w:val="auto"/>
          <w:spacing w:val="-5"/>
          <w:sz w:val="24"/>
        </w:rPr>
        <w:t xml:space="preserve">每个投标人的评标总得分 </w:t>
      </w:r>
      <w:r>
        <w:rPr>
          <w:rFonts w:hint="eastAsia" w:asciiTheme="minorEastAsia" w:hAnsiTheme="minorEastAsia" w:eastAsiaTheme="minorEastAsia" w:cstheme="minorEastAsia"/>
          <w:color w:val="auto"/>
          <w:spacing w:val="-3"/>
          <w:sz w:val="24"/>
        </w:rPr>
        <w:t>FA＝F1×A1＋F2×A2＋F3×A3＋F4×A4（</w:t>
      </w:r>
      <w:r>
        <w:rPr>
          <w:rFonts w:hint="eastAsia" w:asciiTheme="minorEastAsia" w:hAnsiTheme="minorEastAsia" w:eastAsiaTheme="minorEastAsia" w:cstheme="minorEastAsia"/>
          <w:color w:val="auto"/>
          <w:sz w:val="24"/>
        </w:rPr>
        <w:t>若有</w:t>
      </w:r>
      <w:r>
        <w:rPr>
          <w:rFonts w:hint="eastAsia" w:asciiTheme="minorEastAsia" w:hAnsiTheme="minorEastAsia" w:eastAsiaTheme="minorEastAsia" w:cstheme="minorEastAsia"/>
          <w:color w:val="auto"/>
          <w:spacing w:val="-53"/>
          <w:sz w:val="24"/>
        </w:rPr>
        <w:t>），</w:t>
      </w:r>
      <w:r>
        <w:rPr>
          <w:rFonts w:hint="eastAsia" w:asciiTheme="minorEastAsia" w:hAnsiTheme="minorEastAsia" w:eastAsiaTheme="minorEastAsia" w:cstheme="minorEastAsia"/>
          <w:color w:val="auto"/>
          <w:sz w:val="24"/>
        </w:rPr>
        <w:t>其中：</w:t>
      </w:r>
    </w:p>
    <w:p w14:paraId="73A2E601">
      <w:pPr>
        <w:pStyle w:val="6"/>
        <w:spacing w:before="113" w:line="328" w:lineRule="auto"/>
        <w:ind w:right="577"/>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F1 </w:t>
      </w:r>
      <w:r>
        <w:rPr>
          <w:rFonts w:hint="eastAsia" w:asciiTheme="minorEastAsia" w:hAnsiTheme="minorEastAsia" w:eastAsiaTheme="minorEastAsia" w:cstheme="minorEastAsia"/>
          <w:color w:val="auto"/>
          <w:spacing w:val="-1"/>
        </w:rPr>
        <w:t>指价格项评审因素得分、</w:t>
      </w:r>
      <w:r>
        <w:rPr>
          <w:rFonts w:hint="eastAsia" w:asciiTheme="minorEastAsia" w:hAnsiTheme="minorEastAsia" w:eastAsiaTheme="minorEastAsia" w:cstheme="minorEastAsia"/>
          <w:color w:val="auto"/>
        </w:rPr>
        <w:t xml:space="preserve">F2 </w:t>
      </w:r>
      <w:r>
        <w:rPr>
          <w:rFonts w:hint="eastAsia" w:asciiTheme="minorEastAsia" w:hAnsiTheme="minorEastAsia" w:eastAsiaTheme="minorEastAsia" w:cstheme="minorEastAsia"/>
          <w:color w:val="auto"/>
          <w:spacing w:val="-1"/>
        </w:rPr>
        <w:t>指技术项评审因素得分、</w:t>
      </w:r>
      <w:r>
        <w:rPr>
          <w:rFonts w:hint="eastAsia" w:asciiTheme="minorEastAsia" w:hAnsiTheme="minorEastAsia" w:eastAsiaTheme="minorEastAsia" w:cstheme="minorEastAsia"/>
          <w:color w:val="auto"/>
        </w:rPr>
        <w:t xml:space="preserve">F3 </w:t>
      </w:r>
      <w:r>
        <w:rPr>
          <w:rFonts w:hint="eastAsia" w:asciiTheme="minorEastAsia" w:hAnsiTheme="minorEastAsia" w:eastAsiaTheme="minorEastAsia" w:cstheme="minorEastAsia"/>
          <w:color w:val="auto"/>
          <w:spacing w:val="-1"/>
        </w:rPr>
        <w:t>指商务项评审因素得分，</w:t>
      </w:r>
      <w:r>
        <w:rPr>
          <w:rFonts w:hint="eastAsia" w:asciiTheme="minorEastAsia" w:hAnsiTheme="minorEastAsia" w:eastAsiaTheme="minorEastAsia" w:cstheme="minorEastAsia"/>
          <w:color w:val="auto"/>
          <w:spacing w:val="-9"/>
        </w:rPr>
        <w:t xml:space="preserve">A1 </w:t>
      </w:r>
      <w:r>
        <w:rPr>
          <w:rFonts w:hint="eastAsia" w:asciiTheme="minorEastAsia" w:hAnsiTheme="minorEastAsia" w:eastAsiaTheme="minorEastAsia" w:cstheme="minorEastAsia"/>
          <w:color w:val="auto"/>
          <w:spacing w:val="-1"/>
        </w:rPr>
        <w:t>指价格项评审因素所占的权重、</w:t>
      </w:r>
      <w:r>
        <w:rPr>
          <w:rFonts w:hint="eastAsia" w:asciiTheme="minorEastAsia" w:hAnsiTheme="minorEastAsia" w:eastAsiaTheme="minorEastAsia" w:cstheme="minorEastAsia"/>
          <w:color w:val="auto"/>
        </w:rPr>
        <w:t xml:space="preserve">A2 </w:t>
      </w:r>
      <w:r>
        <w:rPr>
          <w:rFonts w:hint="eastAsia" w:asciiTheme="minorEastAsia" w:hAnsiTheme="minorEastAsia" w:eastAsiaTheme="minorEastAsia" w:cstheme="minorEastAsia"/>
          <w:color w:val="auto"/>
          <w:spacing w:val="-1"/>
        </w:rPr>
        <w:t>指技术项评审因素所占的权重、</w:t>
      </w:r>
      <w:r>
        <w:rPr>
          <w:rFonts w:hint="eastAsia" w:asciiTheme="minorEastAsia" w:hAnsiTheme="minorEastAsia" w:eastAsiaTheme="minorEastAsia" w:cstheme="minorEastAsia"/>
          <w:color w:val="auto"/>
        </w:rPr>
        <w:t xml:space="preserve">A3 </w:t>
      </w:r>
      <w:r>
        <w:rPr>
          <w:rFonts w:hint="eastAsia" w:asciiTheme="minorEastAsia" w:hAnsiTheme="minorEastAsia" w:eastAsiaTheme="minorEastAsia" w:cstheme="minorEastAsia"/>
          <w:color w:val="auto"/>
          <w:spacing w:val="-3"/>
        </w:rPr>
        <w:t>指商务项评审因</w:t>
      </w:r>
      <w:r>
        <w:rPr>
          <w:rFonts w:hint="eastAsia" w:asciiTheme="minorEastAsia" w:hAnsiTheme="minorEastAsia" w:eastAsiaTheme="minorEastAsia" w:cstheme="minorEastAsia"/>
          <w:color w:val="auto"/>
          <w:spacing w:val="-1"/>
        </w:rPr>
        <w:t>素所占的权重，</w:t>
      </w:r>
      <w:r>
        <w:rPr>
          <w:rFonts w:hint="eastAsia" w:asciiTheme="minorEastAsia" w:hAnsiTheme="minorEastAsia" w:eastAsiaTheme="minorEastAsia" w:cstheme="minorEastAsia"/>
          <w:color w:val="auto"/>
          <w:spacing w:val="-3"/>
        </w:rPr>
        <w:t>A1+A2+A3=1</w:t>
      </w:r>
      <w:r>
        <w:rPr>
          <w:rFonts w:hint="eastAsia" w:asciiTheme="minorEastAsia" w:hAnsiTheme="minorEastAsia" w:eastAsiaTheme="minorEastAsia" w:cstheme="minorEastAsia"/>
          <w:color w:val="auto"/>
          <w:spacing w:val="-20"/>
        </w:rPr>
        <w:t>、</w:t>
      </w:r>
      <w:r>
        <w:rPr>
          <w:rFonts w:hint="eastAsia" w:asciiTheme="minorEastAsia" w:hAnsiTheme="minorEastAsia" w:eastAsiaTheme="minorEastAsia" w:cstheme="minorEastAsia"/>
          <w:color w:val="auto"/>
        </w:rPr>
        <w:t xml:space="preserve">F1×A1＋F2×A2＋F3×A3=100 </w:t>
      </w:r>
      <w:r>
        <w:rPr>
          <w:rFonts w:hint="eastAsia" w:asciiTheme="minorEastAsia" w:hAnsiTheme="minorEastAsia" w:eastAsiaTheme="minorEastAsia" w:cstheme="minorEastAsia"/>
          <w:color w:val="auto"/>
          <w:spacing w:val="-17"/>
        </w:rPr>
        <w:t>分</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rPr>
        <w:t>满分时</w:t>
      </w:r>
      <w:r>
        <w:rPr>
          <w:rFonts w:hint="eastAsia" w:asciiTheme="minorEastAsia" w:hAnsiTheme="minorEastAsia" w:eastAsiaTheme="minorEastAsia" w:cstheme="minorEastAsia"/>
          <w:color w:val="auto"/>
          <w:spacing w:val="-6"/>
        </w:rPr>
        <w:t xml:space="preserve">），F4×A4 </w:t>
      </w:r>
      <w:r>
        <w:rPr>
          <w:rFonts w:hint="eastAsia" w:asciiTheme="minorEastAsia" w:hAnsiTheme="minorEastAsia" w:eastAsiaTheme="minorEastAsia" w:cstheme="minorEastAsia"/>
          <w:color w:val="auto"/>
        </w:rPr>
        <w:t>为加分项（即优先类节能产品、环境标志产品在采购活动中可享有的加分优惠）。</w:t>
      </w:r>
    </w:p>
    <w:p w14:paraId="3276EF65">
      <w:pPr>
        <w:pStyle w:val="6"/>
        <w:spacing w:line="302" w:lineRule="exact"/>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各项评审因素的设置如下：</w:t>
      </w:r>
    </w:p>
    <w:p w14:paraId="77F2C251">
      <w:pPr>
        <w:pStyle w:val="4"/>
        <w:spacing w:before="11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价格项（F1×A1）满分为 </w:t>
      </w:r>
      <w:r>
        <w:rPr>
          <w:rFonts w:hint="eastAsia" w:asciiTheme="minorEastAsia" w:hAnsiTheme="minorEastAsia" w:eastAsiaTheme="minorEastAsia" w:cstheme="minorEastAsia"/>
          <w:color w:val="auto"/>
          <w:lang w:val="en-US" w:eastAsia="zh-CN"/>
        </w:rPr>
        <w:t>30</w:t>
      </w:r>
      <w:r>
        <w:rPr>
          <w:rFonts w:hint="eastAsia" w:asciiTheme="minorEastAsia" w:hAnsiTheme="minorEastAsia" w:eastAsiaTheme="minorEastAsia" w:cstheme="minorEastAsia"/>
          <w:color w:val="auto"/>
        </w:rPr>
        <w:t>.00 分</w:t>
      </w:r>
    </w:p>
    <w:p w14:paraId="71C38396">
      <w:pPr>
        <w:pStyle w:val="6"/>
        <w:spacing w:before="113" w:line="328" w:lineRule="auto"/>
        <w:ind w:right="577"/>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F1 指价格项评审因素得分</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rPr>
        <w:t>评标基准价</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rPr>
        <w:t>投标报价）×100×价格项评审因素所占的</w:t>
      </w:r>
      <w:r>
        <w:rPr>
          <w:rFonts w:hint="eastAsia" w:asciiTheme="minorEastAsia" w:hAnsiTheme="minorEastAsia" w:eastAsiaTheme="minorEastAsia" w:cstheme="minorEastAsia"/>
          <w:color w:val="auto"/>
          <w:spacing w:val="-12"/>
        </w:rPr>
        <w:t>权重</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6"/>
        </w:rPr>
        <w:t>注：满足招标文件要求且投标价格最低的投标报价为评标基准价。</w:t>
      </w:r>
      <w:r>
        <w:rPr>
          <w:rFonts w:hint="eastAsia" w:asciiTheme="minorEastAsia" w:hAnsiTheme="minorEastAsia" w:eastAsiaTheme="minorEastAsia" w:cstheme="minorEastAsia"/>
          <w:color w:val="auto"/>
          <w:spacing w:val="-22"/>
        </w:rPr>
        <w:t>）</w:t>
      </w:r>
      <w:r>
        <w:rPr>
          <w:rFonts w:hint="eastAsia" w:asciiTheme="minorEastAsia" w:hAnsiTheme="minorEastAsia" w:eastAsiaTheme="minorEastAsia" w:cstheme="minorEastAsia"/>
          <w:color w:val="auto"/>
          <w:spacing w:val="-4"/>
        </w:rPr>
        <w:t>最低报价不</w:t>
      </w:r>
      <w:r>
        <w:rPr>
          <w:rFonts w:hint="eastAsia" w:asciiTheme="minorEastAsia" w:hAnsiTheme="minorEastAsia" w:eastAsiaTheme="minorEastAsia" w:cstheme="minorEastAsia"/>
          <w:color w:val="auto"/>
          <w:spacing w:val="-9"/>
        </w:rPr>
        <w:t>是中标的唯一依据。因落实政府采购政策进行价格调整的，以调整后的价格计算评标基</w:t>
      </w:r>
      <w:r>
        <w:rPr>
          <w:rFonts w:hint="eastAsia" w:asciiTheme="minorEastAsia" w:hAnsiTheme="minorEastAsia" w:eastAsiaTheme="minorEastAsia" w:cstheme="minorEastAsia"/>
          <w:color w:val="auto"/>
        </w:rPr>
        <w:t>准价和投标报价。</w:t>
      </w:r>
    </w:p>
    <w:p w14:paraId="73B1E095">
      <w:pPr>
        <w:pStyle w:val="6"/>
        <w:spacing w:before="113" w:line="328" w:lineRule="auto"/>
        <w:ind w:right="577"/>
        <w:jc w:val="both"/>
        <w:rPr>
          <w:rFonts w:hint="eastAsia" w:asciiTheme="minorEastAsia" w:hAnsiTheme="minorEastAsia" w:eastAsiaTheme="minorEastAsia" w:cstheme="minorEastAsia"/>
          <w:color w:val="auto"/>
          <w:spacing w:val="-6"/>
        </w:rPr>
      </w:pPr>
      <w:r>
        <w:rPr>
          <w:rFonts w:hint="eastAsia" w:asciiTheme="minorEastAsia" w:hAnsiTheme="minorEastAsia" w:eastAsiaTheme="minorEastAsia" w:cstheme="minorEastAsia"/>
          <w:color w:val="auto"/>
          <w:spacing w:val="-6"/>
        </w:rPr>
        <w:t>价格扣除的规则如下：</w:t>
      </w:r>
    </w:p>
    <w:tbl>
      <w:tblPr>
        <w:tblStyle w:val="18"/>
        <w:tblW w:w="4998"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59"/>
        <w:gridCol w:w="1428"/>
        <w:gridCol w:w="1129"/>
        <w:gridCol w:w="6426"/>
      </w:tblGrid>
      <w:tr w14:paraId="23CC35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27" w:type="pct"/>
          </w:tcPr>
          <w:p w14:paraId="6E80F5AA">
            <w:pPr>
              <w:pStyle w:val="26"/>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项目</w:t>
            </w:r>
          </w:p>
        </w:tc>
        <w:tc>
          <w:tcPr>
            <w:tcW w:w="711" w:type="pct"/>
          </w:tcPr>
          <w:p w14:paraId="57873EDF">
            <w:pPr>
              <w:pStyle w:val="26"/>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适用对象</w:t>
            </w:r>
          </w:p>
        </w:tc>
        <w:tc>
          <w:tcPr>
            <w:tcW w:w="562" w:type="pct"/>
          </w:tcPr>
          <w:p w14:paraId="0D50488F">
            <w:pPr>
              <w:pStyle w:val="26"/>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比例</w:t>
            </w:r>
          </w:p>
        </w:tc>
        <w:tc>
          <w:tcPr>
            <w:tcW w:w="3199" w:type="pct"/>
          </w:tcPr>
          <w:p w14:paraId="26DAD037">
            <w:pPr>
              <w:pStyle w:val="26"/>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描述</w:t>
            </w:r>
          </w:p>
        </w:tc>
      </w:tr>
      <w:tr w14:paraId="584944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27" w:type="pct"/>
          </w:tcPr>
          <w:p w14:paraId="4EEEBAF6">
            <w:pPr>
              <w:pStyle w:val="26"/>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小型、微型企业，监狱企业，残疾人福利性单位</w:t>
            </w:r>
          </w:p>
        </w:tc>
        <w:tc>
          <w:tcPr>
            <w:tcW w:w="711" w:type="pct"/>
          </w:tcPr>
          <w:p w14:paraId="6EB85E58">
            <w:pPr>
              <w:pStyle w:val="26"/>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投标人或者联合体均为小型、微型企业</w:t>
            </w:r>
          </w:p>
        </w:tc>
        <w:tc>
          <w:tcPr>
            <w:tcW w:w="562" w:type="pct"/>
          </w:tcPr>
          <w:p w14:paraId="1BA128A7">
            <w:pPr>
              <w:pStyle w:val="26"/>
              <w:jc w:val="righ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15.00%</w:t>
            </w:r>
          </w:p>
        </w:tc>
        <w:tc>
          <w:tcPr>
            <w:tcW w:w="3199" w:type="pct"/>
          </w:tcPr>
          <w:p w14:paraId="1F59DF40">
            <w:pPr>
              <w:pStyle w:val="26"/>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评审时，对符合《政府采购促进中小企业发展管理办法》（财库﹝2020﹞46号）和《关于进一步加大政府采购支持中小企业力度的通知》（财库﹝2022﹞19号）规定的小微企业报价给予价格扣除【货物和服务项目为15%；工程项目为5%；对于联合协议或者分包意向协议约定小微企业的合同份额占到合同总金额30%以上的，对联合体或者大中型企业的报价扣除比例为5%（工程项目为2%）】，用扣除后的价格参加评审。投标人须提供合格的中小企业声明函，否则不予价格扣除。2、根据财政部、司法部联合印发《关于政府采购支持监狱企业发展有关问题的通知》（财库【2014】68号）文件规定，凡监狱企业参加政府采购活动视同小型、微型企业，享受评审价格扣除的政府采购优惠政策，但必须提供由省级以上监狱管理局、戒毒管理局（含新疆生产建设兵团）出具的属于监狱企业的证明文件，否则评审时不予价格扣除优惠。3、根据财政部、民政部、中国残联文件《关于促进残疾人就业政府采购政策的通知》（财库[2017]141号）规定，凡符合上述文件要求条件的残疾人福利性单位在参加政府采购活动时视同小型、微型企业，享受预留份额、评审中价格扣除等促进中小企业发展的政府采购政策，但必须提供《残疾人福利性单位声明函》。对于残疾人福利性单位参与货物项目的，必须标明具体哪些货物是其本单位制造的货物，或者是由其他残疾人福利性单位制造的货物（不包括使用非残疾人福利性单位注册商标的货物），仅有标明部分的货物才能启动价格扣除，并对声明的真实性负责，否则评审时不予价格扣除优惠。4、招标文件规定与</w:t>
            </w:r>
            <w:r>
              <w:rPr>
                <w:rFonts w:hint="eastAsia" w:asciiTheme="minorEastAsia" w:hAnsiTheme="minorEastAsia" w:cstheme="minorEastAsia"/>
                <w:color w:val="auto"/>
                <w:sz w:val="24"/>
                <w:szCs w:val="24"/>
                <w:lang w:eastAsia="zh-CN"/>
              </w:rPr>
              <w:t>企业采购</w:t>
            </w:r>
            <w:r>
              <w:rPr>
                <w:rFonts w:hint="eastAsia" w:asciiTheme="minorEastAsia" w:hAnsiTheme="minorEastAsia" w:eastAsiaTheme="minorEastAsia" w:cstheme="minorEastAsia"/>
                <w:color w:val="auto"/>
                <w:sz w:val="24"/>
                <w:szCs w:val="24"/>
              </w:rPr>
              <w:t>相关法律、法规、制度等有冲突的，以现行法律、法规、制度等执行。</w:t>
            </w:r>
            <w:r>
              <w:rPr>
                <w:rFonts w:hint="eastAsia" w:asciiTheme="minorEastAsia" w:hAnsiTheme="minorEastAsia" w:eastAsiaTheme="minorEastAsia" w:cstheme="minorEastAsia"/>
                <w:color w:val="auto"/>
                <w:sz w:val="24"/>
              </w:rPr>
              <w:t>本项目采购标的对应的中小企业划分标准所属行业为工业。</w:t>
            </w:r>
          </w:p>
        </w:tc>
      </w:tr>
    </w:tbl>
    <w:p w14:paraId="0CBF8E42">
      <w:pPr>
        <w:spacing w:before="96" w:after="17"/>
        <w:ind w:left="220" w:right="0" w:firstLine="0"/>
        <w:jc w:val="left"/>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b/>
          <w:color w:val="auto"/>
          <w:sz w:val="24"/>
        </w:rPr>
        <w:t xml:space="preserve">技术项（F2×A2）满分为 </w:t>
      </w:r>
      <w:r>
        <w:rPr>
          <w:rFonts w:hint="eastAsia" w:asciiTheme="minorEastAsia" w:hAnsiTheme="minorEastAsia" w:eastAsiaTheme="minorEastAsia" w:cstheme="minorEastAsia"/>
          <w:b/>
          <w:color w:val="auto"/>
          <w:sz w:val="24"/>
          <w:lang w:val="en-US" w:eastAsia="zh-CN"/>
        </w:rPr>
        <w:t>58</w:t>
      </w:r>
      <w:r>
        <w:rPr>
          <w:rFonts w:hint="eastAsia" w:asciiTheme="minorEastAsia" w:hAnsiTheme="minorEastAsia" w:eastAsiaTheme="minorEastAsia" w:cstheme="minorEastAsia"/>
          <w:b/>
          <w:color w:val="auto"/>
          <w:sz w:val="24"/>
        </w:rPr>
        <w:t>.00 分</w:t>
      </w:r>
    </w:p>
    <w:tbl>
      <w:tblPr>
        <w:tblStyle w:val="19"/>
        <w:tblW w:w="0" w:type="auto"/>
        <w:tblInd w:w="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0"/>
        <w:gridCol w:w="750"/>
        <w:gridCol w:w="8151"/>
      </w:tblGrid>
      <w:tr w14:paraId="1507A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dxa"/>
            <w:vAlign w:val="top"/>
          </w:tcPr>
          <w:p w14:paraId="5585D655">
            <w:pPr>
              <w:pStyle w:val="26"/>
              <w:widowControl w:val="0"/>
              <w:spacing w:line="36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项目</w:t>
            </w:r>
          </w:p>
        </w:tc>
        <w:tc>
          <w:tcPr>
            <w:tcW w:w="750" w:type="dxa"/>
            <w:vAlign w:val="top"/>
          </w:tcPr>
          <w:p w14:paraId="56DA01BD">
            <w:pPr>
              <w:pStyle w:val="26"/>
              <w:widowControl w:val="0"/>
              <w:spacing w:line="36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分值</w:t>
            </w:r>
          </w:p>
        </w:tc>
        <w:tc>
          <w:tcPr>
            <w:tcW w:w="8151" w:type="dxa"/>
            <w:vAlign w:val="top"/>
          </w:tcPr>
          <w:p w14:paraId="6C344E20">
            <w:pPr>
              <w:pStyle w:val="26"/>
              <w:widowControl w:val="0"/>
              <w:spacing w:line="36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描述</w:t>
            </w:r>
          </w:p>
        </w:tc>
      </w:tr>
      <w:tr w14:paraId="2818D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dxa"/>
            <w:vAlign w:val="center"/>
          </w:tcPr>
          <w:p w14:paraId="69A87AB2">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hint="eastAsia" w:ascii="宋体" w:hAnsi="宋体" w:eastAsia="宋体" w:cs="宋体"/>
                <w:b/>
                <w:color w:val="auto"/>
                <w:sz w:val="24"/>
                <w:szCs w:val="24"/>
                <w:highlight w:val="none"/>
                <w:vertAlign w:val="baseline"/>
              </w:rPr>
            </w:pPr>
            <w:r>
              <w:rPr>
                <w:rFonts w:hint="eastAsia" w:ascii="宋体" w:hAnsi="宋体" w:eastAsia="宋体" w:cs="宋体"/>
                <w:color w:val="auto"/>
                <w:spacing w:val="-6"/>
                <w:sz w:val="24"/>
                <w:szCs w:val="24"/>
                <w:highlight w:val="none"/>
                <w:lang w:val="en-US" w:eastAsia="en-US" w:bidi="ar-SA"/>
              </w:rPr>
              <w:t>1</w:t>
            </w:r>
            <w:r>
              <w:rPr>
                <w:rFonts w:hint="eastAsia" w:ascii="宋体" w:hAnsi="宋体" w:eastAsia="宋体" w:cs="宋体"/>
                <w:color w:val="auto"/>
                <w:spacing w:val="-6"/>
                <w:sz w:val="24"/>
                <w:szCs w:val="24"/>
                <w:highlight w:val="none"/>
                <w:lang w:val="en-US" w:eastAsia="zh-CN" w:bidi="ar-SA"/>
              </w:rPr>
              <w:t>.</w:t>
            </w:r>
            <w:r>
              <w:rPr>
                <w:rFonts w:hint="eastAsia" w:ascii="宋体" w:hAnsi="宋体" w:eastAsia="宋体" w:cs="宋体"/>
                <w:color w:val="auto"/>
                <w:spacing w:val="-6"/>
                <w:sz w:val="24"/>
                <w:szCs w:val="24"/>
                <w:highlight w:val="none"/>
                <w:lang w:val="en-US" w:eastAsia="en-US" w:bidi="ar-SA"/>
              </w:rPr>
              <w:t>技术规格及要求符合情况</w:t>
            </w:r>
          </w:p>
        </w:tc>
        <w:tc>
          <w:tcPr>
            <w:tcW w:w="750" w:type="dxa"/>
            <w:vAlign w:val="center"/>
          </w:tcPr>
          <w:p w14:paraId="4BC9A16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hint="default" w:ascii="宋体" w:hAnsi="宋体" w:eastAsia="宋体" w:cs="宋体"/>
                <w:b/>
                <w:color w:val="auto"/>
                <w:sz w:val="24"/>
                <w:szCs w:val="24"/>
                <w:highlight w:val="none"/>
                <w:vertAlign w:val="baseline"/>
                <w:lang w:val="en-US" w:eastAsia="zh-CN"/>
              </w:rPr>
            </w:pPr>
            <w:r>
              <w:rPr>
                <w:rFonts w:hint="eastAsia" w:ascii="宋体" w:hAnsi="宋体" w:eastAsia="宋体" w:cs="宋体"/>
                <w:b w:val="0"/>
                <w:bCs/>
                <w:color w:val="auto"/>
                <w:sz w:val="24"/>
                <w:szCs w:val="24"/>
                <w:highlight w:val="none"/>
                <w:vertAlign w:val="baseline"/>
                <w:lang w:val="en-US" w:eastAsia="zh-CN"/>
              </w:rPr>
              <w:t>49</w:t>
            </w:r>
          </w:p>
        </w:tc>
        <w:tc>
          <w:tcPr>
            <w:tcW w:w="8151" w:type="dxa"/>
            <w:vAlign w:val="top"/>
          </w:tcPr>
          <w:p w14:paraId="75091846">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ascii="宋体" w:hAnsi="宋体" w:eastAsia="宋体" w:cs="宋体"/>
                <w:b/>
                <w:color w:val="auto"/>
                <w:sz w:val="24"/>
                <w:szCs w:val="24"/>
                <w:highlight w:val="none"/>
                <w:vertAlign w:val="baseline"/>
              </w:rPr>
            </w:pPr>
            <w:r>
              <w:rPr>
                <w:rFonts w:hint="eastAsia" w:ascii="宋体" w:hAnsi="宋体" w:eastAsia="宋体" w:cs="宋体"/>
                <w:color w:val="auto"/>
                <w:spacing w:val="-6"/>
                <w:sz w:val="24"/>
                <w:szCs w:val="24"/>
                <w:highlight w:val="none"/>
                <w:lang w:val="en-US" w:eastAsia="en-US" w:bidi="ar-SA"/>
              </w:rPr>
              <w:t>根据投标人所投</w:t>
            </w:r>
            <w:r>
              <w:rPr>
                <w:rFonts w:hint="eastAsia" w:ascii="宋体" w:hAnsi="宋体" w:eastAsia="宋体" w:cs="宋体"/>
                <w:color w:val="auto"/>
                <w:kern w:val="0"/>
                <w:sz w:val="24"/>
                <w:szCs w:val="24"/>
                <w:highlight w:val="none"/>
              </w:rPr>
              <w:t>产品</w:t>
            </w:r>
            <w:r>
              <w:rPr>
                <w:rFonts w:hint="eastAsia" w:ascii="宋体" w:hAnsi="宋体" w:eastAsia="宋体" w:cs="宋体"/>
                <w:color w:val="auto"/>
                <w:spacing w:val="-6"/>
                <w:sz w:val="24"/>
                <w:szCs w:val="24"/>
                <w:highlight w:val="none"/>
                <w:lang w:val="en-US" w:eastAsia="en-US" w:bidi="ar-SA"/>
              </w:rPr>
              <w:t>对《第</w:t>
            </w:r>
            <w:r>
              <w:rPr>
                <w:rFonts w:hint="eastAsia" w:ascii="宋体" w:hAnsi="宋体" w:eastAsia="宋体" w:cs="宋体"/>
                <w:color w:val="auto"/>
                <w:spacing w:val="-6"/>
                <w:sz w:val="24"/>
                <w:szCs w:val="24"/>
                <w:highlight w:val="none"/>
                <w:lang w:val="en-US" w:eastAsia="zh-CN" w:bidi="ar-SA"/>
              </w:rPr>
              <w:t>五</w:t>
            </w:r>
            <w:r>
              <w:rPr>
                <w:rFonts w:hint="eastAsia" w:ascii="宋体" w:hAnsi="宋体" w:eastAsia="宋体" w:cs="宋体"/>
                <w:color w:val="auto"/>
                <w:spacing w:val="-6"/>
                <w:sz w:val="24"/>
                <w:szCs w:val="24"/>
                <w:highlight w:val="none"/>
                <w:lang w:val="en-US" w:eastAsia="en-US" w:bidi="ar-SA"/>
              </w:rPr>
              <w:t>章 招标内容及要求》二、技术和服务要求中的</w:t>
            </w:r>
            <w:r>
              <w:rPr>
                <w:rFonts w:hint="eastAsia" w:cs="宋体"/>
                <w:b/>
                <w:bCs/>
                <w:color w:val="auto"/>
                <w:spacing w:val="-6"/>
                <w:sz w:val="24"/>
                <w:szCs w:val="24"/>
                <w:highlight w:val="none"/>
                <w:lang w:val="en-US" w:eastAsia="zh-CN" w:bidi="ar-SA"/>
              </w:rPr>
              <w:t>采购包1</w:t>
            </w:r>
            <w:r>
              <w:rPr>
                <w:rFonts w:hint="eastAsia" w:ascii="宋体" w:hAnsi="宋体" w:eastAsia="宋体" w:cs="宋体"/>
                <w:color w:val="auto"/>
                <w:spacing w:val="-6"/>
                <w:sz w:val="24"/>
                <w:szCs w:val="24"/>
                <w:highlight w:val="none"/>
                <w:lang w:val="en-US" w:eastAsia="en-US" w:bidi="ar-SA"/>
              </w:rPr>
              <w:t>各项配置要求的响应承诺情况，由评委进行评议并评分, 完全满足招标文件技术参数要求的得</w:t>
            </w:r>
            <w:r>
              <w:rPr>
                <w:rFonts w:hint="eastAsia" w:ascii="宋体" w:hAnsi="宋体" w:eastAsia="宋体" w:cs="宋体"/>
                <w:color w:val="auto"/>
                <w:spacing w:val="-6"/>
                <w:sz w:val="24"/>
                <w:szCs w:val="24"/>
                <w:highlight w:val="none"/>
                <w:lang w:val="en-US" w:eastAsia="zh-CN" w:bidi="ar-SA"/>
              </w:rPr>
              <w:t>49</w:t>
            </w:r>
            <w:r>
              <w:rPr>
                <w:rFonts w:hint="eastAsia" w:ascii="宋体" w:hAnsi="宋体" w:eastAsia="宋体" w:cs="宋体"/>
                <w:color w:val="auto"/>
                <w:spacing w:val="-6"/>
                <w:sz w:val="24"/>
                <w:szCs w:val="24"/>
                <w:highlight w:val="none"/>
                <w:lang w:val="en-US" w:eastAsia="en-US" w:bidi="ar-SA"/>
              </w:rPr>
              <w:t>分，</w:t>
            </w:r>
            <w:r>
              <w:rPr>
                <w:rFonts w:hint="eastAsia" w:cs="宋体"/>
                <w:color w:val="auto"/>
                <w:spacing w:val="-6"/>
                <w:sz w:val="24"/>
                <w:szCs w:val="24"/>
                <w:highlight w:val="none"/>
                <w:lang w:val="en-US" w:eastAsia="zh-CN" w:bidi="ar-SA"/>
              </w:rPr>
              <w:t>招标文件</w:t>
            </w:r>
            <w:r>
              <w:rPr>
                <w:rFonts w:hint="eastAsia" w:ascii="宋体" w:hAnsi="宋体" w:eastAsia="宋体" w:cs="宋体"/>
                <w:color w:val="auto"/>
                <w:spacing w:val="-6"/>
                <w:sz w:val="24"/>
                <w:szCs w:val="24"/>
                <w:highlight w:val="none"/>
                <w:lang w:val="en-US" w:eastAsia="en-US" w:bidi="ar-SA"/>
              </w:rPr>
              <w:t>技术参数中标注“★”的参数（共</w:t>
            </w:r>
            <w:r>
              <w:rPr>
                <w:rFonts w:hint="eastAsia" w:cs="宋体"/>
                <w:color w:val="auto"/>
                <w:spacing w:val="-6"/>
                <w:sz w:val="24"/>
                <w:szCs w:val="24"/>
                <w:highlight w:val="none"/>
                <w:lang w:val="en-US" w:eastAsia="zh-CN" w:bidi="ar-SA"/>
              </w:rPr>
              <w:t>2</w:t>
            </w:r>
            <w:r>
              <w:rPr>
                <w:rFonts w:hint="eastAsia" w:ascii="宋体" w:hAnsi="宋体" w:eastAsia="宋体" w:cs="宋体"/>
                <w:color w:val="auto"/>
                <w:spacing w:val="-6"/>
                <w:sz w:val="24"/>
                <w:szCs w:val="24"/>
                <w:highlight w:val="none"/>
                <w:lang w:val="en-US" w:eastAsia="en-US" w:bidi="ar-SA"/>
              </w:rPr>
              <w:t>项）为不允许负偏离的实质性要求，如若负偏离则视为无效投标；其中技术参数中标注“</w:t>
            </w:r>
            <w:r>
              <w:rPr>
                <w:rFonts w:hint="eastAsia" w:ascii="宋体" w:hAnsi="宋体" w:eastAsia="宋体" w:cs="宋体"/>
                <w:color w:val="auto"/>
                <w:sz w:val="24"/>
                <w:szCs w:val="24"/>
                <w:highlight w:val="none"/>
              </w:rPr>
              <w:t>▲</w:t>
            </w:r>
            <w:r>
              <w:rPr>
                <w:rFonts w:hint="eastAsia" w:ascii="宋体" w:hAnsi="宋体" w:eastAsia="宋体" w:cs="宋体"/>
                <w:color w:val="auto"/>
                <w:spacing w:val="-6"/>
                <w:sz w:val="24"/>
                <w:szCs w:val="24"/>
                <w:highlight w:val="none"/>
                <w:lang w:val="en-US" w:eastAsia="en-US" w:bidi="ar-SA"/>
              </w:rPr>
              <w:t>”的参数为</w:t>
            </w:r>
            <w:r>
              <w:rPr>
                <w:rFonts w:hint="eastAsia" w:ascii="宋体" w:hAnsi="宋体" w:eastAsia="宋体"/>
                <w:color w:val="auto"/>
                <w:sz w:val="24"/>
                <w:szCs w:val="24"/>
                <w:highlight w:val="none"/>
              </w:rPr>
              <w:t>重要</w:t>
            </w:r>
            <w:r>
              <w:rPr>
                <w:rFonts w:hint="eastAsia"/>
                <w:color w:val="auto"/>
                <w:sz w:val="24"/>
                <w:szCs w:val="24"/>
                <w:highlight w:val="none"/>
                <w:lang w:eastAsia="zh-CN"/>
              </w:rPr>
              <w:t>参数</w:t>
            </w:r>
            <w:r>
              <w:rPr>
                <w:rFonts w:hint="eastAsia" w:ascii="宋体" w:hAnsi="宋体" w:eastAsia="宋体" w:cs="宋体"/>
                <w:color w:val="auto"/>
                <w:spacing w:val="-6"/>
                <w:sz w:val="24"/>
                <w:szCs w:val="24"/>
                <w:highlight w:val="none"/>
                <w:lang w:val="en-US" w:eastAsia="en-US" w:bidi="ar-SA"/>
              </w:rPr>
              <w:t>，每偏离一项扣</w:t>
            </w:r>
            <w:r>
              <w:rPr>
                <w:rFonts w:hint="eastAsia" w:cs="宋体"/>
                <w:color w:val="auto"/>
                <w:spacing w:val="-6"/>
                <w:sz w:val="24"/>
                <w:szCs w:val="24"/>
                <w:highlight w:val="none"/>
                <w:lang w:val="en-US" w:eastAsia="zh-CN" w:bidi="ar-SA"/>
              </w:rPr>
              <w:t>3</w:t>
            </w:r>
            <w:r>
              <w:rPr>
                <w:rFonts w:hint="eastAsia" w:ascii="宋体" w:hAnsi="宋体" w:eastAsia="宋体" w:cs="宋体"/>
                <w:color w:val="auto"/>
                <w:sz w:val="24"/>
                <w:szCs w:val="24"/>
                <w:highlight w:val="none"/>
              </w:rPr>
              <w:t>分（总计</w:t>
            </w:r>
            <w:r>
              <w:rPr>
                <w:rFonts w:hint="eastAsia" w:cs="宋体"/>
                <w:color w:val="auto"/>
                <w:sz w:val="24"/>
                <w:szCs w:val="24"/>
                <w:highlight w:val="none"/>
                <w:lang w:val="en-US" w:eastAsia="zh-CN"/>
              </w:rPr>
              <w:t>4</w:t>
            </w:r>
            <w:r>
              <w:rPr>
                <w:rFonts w:hint="eastAsia" w:ascii="宋体" w:hAnsi="宋体" w:eastAsia="宋体" w:cs="宋体"/>
                <w:color w:val="auto"/>
                <w:sz w:val="24"/>
                <w:szCs w:val="24"/>
                <w:highlight w:val="none"/>
              </w:rPr>
              <w:t>项）</w:t>
            </w:r>
            <w:r>
              <w:rPr>
                <w:rFonts w:hint="eastAsia" w:ascii="宋体" w:hAnsi="宋体" w:eastAsia="宋体" w:cs="宋体"/>
                <w:color w:val="auto"/>
                <w:spacing w:val="-6"/>
                <w:sz w:val="24"/>
                <w:szCs w:val="24"/>
                <w:highlight w:val="none"/>
                <w:lang w:val="en-US" w:eastAsia="en-US" w:bidi="ar-SA"/>
              </w:rPr>
              <w:t>；其余每偏离一项扣</w:t>
            </w:r>
            <w:r>
              <w:rPr>
                <w:rFonts w:hint="eastAsia" w:ascii="宋体" w:hAnsi="宋体" w:eastAsia="宋体" w:cs="宋体"/>
                <w:color w:val="auto"/>
                <w:spacing w:val="-6"/>
                <w:sz w:val="24"/>
                <w:szCs w:val="24"/>
                <w:highlight w:val="none"/>
                <w:lang w:val="en-US" w:eastAsia="zh-CN" w:bidi="ar-SA"/>
              </w:rPr>
              <w:t>0.</w:t>
            </w:r>
            <w:r>
              <w:rPr>
                <w:rFonts w:hint="eastAsia" w:cs="宋体"/>
                <w:color w:val="auto"/>
                <w:spacing w:val="-6"/>
                <w:sz w:val="24"/>
                <w:szCs w:val="24"/>
                <w:highlight w:val="none"/>
                <w:lang w:val="en-US" w:eastAsia="zh-CN" w:bidi="ar-SA"/>
              </w:rPr>
              <w:t>74</w:t>
            </w:r>
            <w:r>
              <w:rPr>
                <w:rFonts w:hint="eastAsia" w:ascii="宋体" w:hAnsi="宋体" w:eastAsia="宋体" w:cs="宋体"/>
                <w:color w:val="auto"/>
                <w:sz w:val="24"/>
                <w:szCs w:val="24"/>
                <w:highlight w:val="none"/>
              </w:rPr>
              <w:t>分（总计</w:t>
            </w:r>
            <w:r>
              <w:rPr>
                <w:rFonts w:hint="eastAsia" w:ascii="宋体" w:hAnsi="宋体" w:eastAsia="宋体" w:cs="宋体"/>
                <w:color w:val="auto"/>
                <w:sz w:val="24"/>
                <w:szCs w:val="24"/>
                <w:highlight w:val="none"/>
                <w:lang w:val="en-US" w:eastAsia="zh-CN"/>
              </w:rPr>
              <w:t>50</w:t>
            </w:r>
            <w:r>
              <w:rPr>
                <w:rFonts w:hint="eastAsia" w:ascii="宋体" w:hAnsi="宋体" w:eastAsia="宋体" w:cs="宋体"/>
                <w:color w:val="auto"/>
                <w:sz w:val="24"/>
                <w:szCs w:val="24"/>
                <w:highlight w:val="none"/>
              </w:rPr>
              <w:t>项）</w:t>
            </w:r>
            <w:r>
              <w:rPr>
                <w:rFonts w:hint="eastAsia" w:ascii="宋体" w:hAnsi="宋体" w:eastAsia="宋体" w:cs="宋体"/>
                <w:color w:val="auto"/>
                <w:spacing w:val="-6"/>
                <w:sz w:val="24"/>
                <w:szCs w:val="24"/>
                <w:highlight w:val="none"/>
                <w:lang w:val="en-US" w:eastAsia="zh-CN" w:bidi="ar-SA"/>
              </w:rPr>
              <w:t>，</w:t>
            </w:r>
            <w:r>
              <w:rPr>
                <w:rFonts w:hint="eastAsia" w:ascii="宋体" w:hAnsi="宋体" w:eastAsia="宋体" w:cs="宋体"/>
                <w:color w:val="auto"/>
                <w:spacing w:val="-6"/>
                <w:sz w:val="24"/>
                <w:szCs w:val="24"/>
                <w:highlight w:val="none"/>
                <w:lang w:val="en-US" w:eastAsia="en-US" w:bidi="ar-SA"/>
              </w:rPr>
              <w:t>优于招标文件中技术参数要求的不加分。</w:t>
            </w:r>
          </w:p>
        </w:tc>
      </w:tr>
      <w:tr w14:paraId="14D9C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120" w:type="dxa"/>
            <w:vAlign w:val="center"/>
          </w:tcPr>
          <w:p w14:paraId="5C355F7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rPr>
                <w:rFonts w:hint="eastAsia" w:ascii="宋体" w:hAnsi="宋体" w:eastAsia="宋体" w:cs="宋体"/>
                <w:color w:val="auto"/>
                <w:spacing w:val="-6"/>
                <w:sz w:val="24"/>
                <w:szCs w:val="24"/>
                <w:lang w:val="en-US" w:eastAsia="zh-CN" w:bidi="ar-SA"/>
              </w:rPr>
            </w:pPr>
            <w:r>
              <w:rPr>
                <w:rFonts w:hint="eastAsia" w:ascii="宋体" w:hAnsi="宋体" w:eastAsia="宋体" w:cs="宋体"/>
                <w:bCs/>
                <w:color w:val="auto"/>
                <w:kern w:val="0"/>
                <w:sz w:val="24"/>
                <w:szCs w:val="24"/>
                <w:lang w:val="en-US" w:eastAsia="zh-CN" w:bidi="ar-SA"/>
              </w:rPr>
              <w:t>2.电池系统</w:t>
            </w:r>
          </w:p>
        </w:tc>
        <w:tc>
          <w:tcPr>
            <w:tcW w:w="750" w:type="dxa"/>
            <w:vAlign w:val="center"/>
          </w:tcPr>
          <w:p w14:paraId="79D63A3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hint="eastAsia" w:ascii="宋体" w:hAnsi="宋体" w:eastAsia="宋体" w:cs="宋体"/>
                <w:b w:val="0"/>
                <w:bCs/>
                <w:color w:val="auto"/>
                <w:sz w:val="24"/>
                <w:szCs w:val="24"/>
                <w:vertAlign w:val="baseline"/>
                <w:lang w:val="en-US" w:eastAsia="zh-CN"/>
              </w:rPr>
            </w:pPr>
            <w:r>
              <w:rPr>
                <w:rFonts w:hint="eastAsia" w:ascii="宋体" w:hAnsi="宋体" w:eastAsia="宋体" w:cs="宋体"/>
                <w:b w:val="0"/>
                <w:bCs/>
                <w:color w:val="auto"/>
                <w:sz w:val="24"/>
                <w:szCs w:val="24"/>
                <w:vertAlign w:val="baseline"/>
                <w:lang w:val="en-US" w:eastAsia="zh-CN"/>
              </w:rPr>
              <w:t>3</w:t>
            </w:r>
          </w:p>
        </w:tc>
        <w:tc>
          <w:tcPr>
            <w:tcW w:w="8151" w:type="dxa"/>
            <w:vAlign w:val="top"/>
          </w:tcPr>
          <w:p w14:paraId="4F31AD37">
            <w:pPr>
              <w:widowControl/>
              <w:spacing w:line="360" w:lineRule="auto"/>
              <w:ind w:left="0" w:leftChars="0" w:right="0" w:rightChars="0"/>
              <w:rPr>
                <w:rFonts w:hint="eastAsia" w:ascii="宋体" w:hAnsi="宋体" w:eastAsia="宋体" w:cs="宋体"/>
                <w:bCs/>
                <w:color w:val="auto"/>
                <w:kern w:val="0"/>
                <w:sz w:val="24"/>
                <w:szCs w:val="24"/>
                <w:highlight w:val="none"/>
                <w:lang w:val="en-US" w:eastAsia="zh-CN" w:bidi="ar-SA"/>
              </w:rPr>
            </w:pPr>
            <w:r>
              <w:rPr>
                <w:rFonts w:hint="eastAsia" w:ascii="宋体" w:hAnsi="宋体" w:eastAsia="宋体" w:cs="宋体"/>
                <w:color w:val="auto"/>
                <w:spacing w:val="-6"/>
                <w:sz w:val="24"/>
                <w:szCs w:val="24"/>
                <w:highlight w:val="none"/>
                <w:lang w:val="en-US" w:eastAsia="en-US" w:bidi="ar-SA"/>
              </w:rPr>
              <w:t>根据投标人所投</w:t>
            </w:r>
            <w:r>
              <w:rPr>
                <w:rFonts w:hint="eastAsia" w:ascii="宋体" w:hAnsi="宋体" w:eastAsia="宋体" w:cs="宋体"/>
                <w:bCs/>
                <w:color w:val="auto"/>
                <w:kern w:val="0"/>
                <w:sz w:val="24"/>
                <w:szCs w:val="24"/>
                <w:highlight w:val="none"/>
                <w:lang w:val="en-US" w:eastAsia="zh-CN" w:bidi="ar-SA"/>
              </w:rPr>
              <w:t>车辆所用电池的电池单体、电池箱体和电池管理系统为同一生产制造厂商（生产制造厂商名称应一致）的得3分,其余不得分。</w:t>
            </w:r>
          </w:p>
          <w:p w14:paraId="45293998">
            <w:pPr>
              <w:widowControl/>
              <w:spacing w:line="360" w:lineRule="auto"/>
              <w:ind w:left="0" w:leftChars="0" w:right="0" w:rightChars="0"/>
              <w:rPr>
                <w:rFonts w:hint="eastAsia" w:ascii="宋体" w:hAnsi="宋体" w:eastAsia="宋体" w:cs="宋体"/>
                <w:color w:val="auto"/>
                <w:spacing w:val="-6"/>
                <w:sz w:val="24"/>
                <w:szCs w:val="24"/>
                <w:highlight w:val="none"/>
                <w:lang w:val="en-US" w:eastAsia="zh-CN" w:bidi="ar-SA"/>
              </w:rPr>
            </w:pPr>
            <w:r>
              <w:rPr>
                <w:rFonts w:hint="eastAsia" w:ascii="宋体" w:hAnsi="宋体" w:eastAsia="宋体" w:cs="宋体"/>
                <w:bCs/>
                <w:color w:val="auto"/>
                <w:kern w:val="0"/>
                <w:sz w:val="24"/>
                <w:szCs w:val="24"/>
                <w:highlight w:val="none"/>
                <w:lang w:val="en-US" w:eastAsia="zh-CN" w:bidi="ar-SA"/>
              </w:rPr>
              <w:t>注：投标人须提供投标车型定型试验报告复印件或投标车型工信部产品技术参数页等有效证明材料并加盖公章，未提供的不得分。</w:t>
            </w:r>
          </w:p>
        </w:tc>
      </w:tr>
      <w:tr w14:paraId="62506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1120" w:type="dxa"/>
            <w:shd w:val="clear" w:color="auto" w:fill="auto"/>
            <w:vAlign w:val="center"/>
          </w:tcPr>
          <w:p w14:paraId="0F545DDF">
            <w:pPr>
              <w:spacing w:line="360" w:lineRule="auto"/>
              <w:ind w:left="0" w:leftChars="0" w:right="0" w:rightChars="0"/>
              <w:jc w:val="left"/>
              <w:textAlignment w:val="center"/>
              <w:rPr>
                <w:rFonts w:hint="eastAsia" w:ascii="宋体" w:hAnsi="宋体" w:eastAsia="宋体" w:cs="宋体"/>
                <w:color w:val="auto"/>
                <w:kern w:val="0"/>
                <w:sz w:val="24"/>
                <w:szCs w:val="24"/>
                <w:lang w:val="en-US" w:eastAsia="en-US" w:bidi="ar-SA"/>
              </w:rPr>
            </w:pPr>
            <w:r>
              <w:rPr>
                <w:rFonts w:hint="eastAsia" w:ascii="宋体" w:hAnsi="宋体" w:eastAsia="宋体" w:cs="宋体"/>
                <w:color w:val="auto"/>
                <w:kern w:val="0"/>
                <w:sz w:val="24"/>
                <w:szCs w:val="24"/>
                <w:lang w:val="en-US" w:eastAsia="zh-CN"/>
              </w:rPr>
              <w:t>3.</w:t>
            </w:r>
            <w:r>
              <w:rPr>
                <w:rFonts w:hint="eastAsia" w:ascii="宋体" w:hAnsi="宋体" w:eastAsia="宋体" w:cs="宋体"/>
                <w:bCs/>
                <w:color w:val="auto"/>
                <w:kern w:val="0"/>
                <w:sz w:val="24"/>
                <w:szCs w:val="24"/>
                <w:lang w:val="en-US" w:eastAsia="zh-CN" w:bidi="ar-SA"/>
              </w:rPr>
              <w:t>电池容量</w:t>
            </w:r>
          </w:p>
        </w:tc>
        <w:tc>
          <w:tcPr>
            <w:tcW w:w="750" w:type="dxa"/>
            <w:vAlign w:val="center"/>
          </w:tcPr>
          <w:p w14:paraId="3FAB02C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hint="eastAsia" w:ascii="宋体" w:hAnsi="宋体" w:eastAsia="宋体" w:cs="宋体"/>
                <w:b w:val="0"/>
                <w:bCs/>
                <w:color w:val="auto"/>
                <w:sz w:val="24"/>
                <w:szCs w:val="24"/>
                <w:vertAlign w:val="baseline"/>
                <w:lang w:val="en-US" w:eastAsia="zh-CN"/>
              </w:rPr>
            </w:pPr>
            <w:r>
              <w:rPr>
                <w:rFonts w:hint="eastAsia" w:ascii="宋体" w:hAnsi="宋体" w:eastAsia="宋体" w:cs="宋体"/>
                <w:b w:val="0"/>
                <w:bCs/>
                <w:color w:val="auto"/>
                <w:sz w:val="24"/>
                <w:szCs w:val="24"/>
                <w:vertAlign w:val="baseline"/>
                <w:lang w:val="en-US" w:eastAsia="zh-CN"/>
              </w:rPr>
              <w:t>3</w:t>
            </w:r>
          </w:p>
        </w:tc>
        <w:tc>
          <w:tcPr>
            <w:tcW w:w="8151" w:type="dxa"/>
            <w:vAlign w:val="center"/>
          </w:tcPr>
          <w:p w14:paraId="7CC23C1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cs="宋体"/>
                <w:bCs/>
                <w:color w:val="auto"/>
                <w:kern w:val="0"/>
                <w:sz w:val="24"/>
                <w:szCs w:val="24"/>
                <w:highlight w:val="none"/>
                <w:lang w:val="en-US" w:eastAsia="zh-CN" w:bidi="ar-SA"/>
              </w:rPr>
            </w:pPr>
            <w:r>
              <w:rPr>
                <w:rFonts w:hint="eastAsia" w:ascii="宋体" w:hAnsi="宋体" w:eastAsia="宋体" w:cs="宋体"/>
                <w:color w:val="auto"/>
                <w:spacing w:val="-6"/>
                <w:sz w:val="24"/>
                <w:szCs w:val="24"/>
                <w:highlight w:val="none"/>
                <w:lang w:val="en-US" w:eastAsia="en-US" w:bidi="ar-SA"/>
              </w:rPr>
              <w:t>根据投标人</w:t>
            </w:r>
            <w:r>
              <w:rPr>
                <w:rFonts w:hint="eastAsia" w:ascii="宋体" w:hAnsi="宋体" w:eastAsia="宋体" w:cs="宋体"/>
                <w:bCs/>
                <w:color w:val="auto"/>
                <w:kern w:val="0"/>
                <w:sz w:val="24"/>
                <w:szCs w:val="24"/>
                <w:highlight w:val="none"/>
                <w:lang w:val="en-US" w:eastAsia="zh-CN" w:bidi="ar-SA"/>
              </w:rPr>
              <w:t>所投</w:t>
            </w:r>
            <w:r>
              <w:rPr>
                <w:rFonts w:hint="eastAsia" w:cs="宋体"/>
                <w:bCs/>
                <w:color w:val="auto"/>
                <w:kern w:val="0"/>
                <w:sz w:val="24"/>
                <w:szCs w:val="24"/>
                <w:highlight w:val="none"/>
                <w:lang w:val="en-US" w:eastAsia="zh-CN" w:bidi="ar-SA"/>
              </w:rPr>
              <w:t>车辆</w:t>
            </w:r>
            <w:r>
              <w:rPr>
                <w:rFonts w:hint="eastAsia" w:ascii="宋体" w:hAnsi="宋体" w:eastAsia="宋体" w:cs="宋体"/>
                <w:bCs/>
                <w:color w:val="auto"/>
                <w:kern w:val="0"/>
                <w:sz w:val="24"/>
                <w:szCs w:val="24"/>
                <w:highlight w:val="none"/>
                <w:lang w:val="en-US" w:eastAsia="zh-CN" w:bidi="ar-SA"/>
              </w:rPr>
              <w:t>电池电量≥175kwh的得3分</w:t>
            </w:r>
            <w:r>
              <w:rPr>
                <w:rFonts w:hint="eastAsia" w:cs="宋体"/>
                <w:bCs/>
                <w:color w:val="auto"/>
                <w:kern w:val="0"/>
                <w:sz w:val="24"/>
                <w:szCs w:val="24"/>
                <w:highlight w:val="none"/>
                <w:lang w:val="en-US" w:eastAsia="zh-CN" w:bidi="ar-SA"/>
              </w:rPr>
              <w:t>，</w:t>
            </w:r>
            <w:r>
              <w:rPr>
                <w:rFonts w:hint="eastAsia" w:ascii="宋体" w:hAnsi="宋体" w:eastAsia="宋体" w:cs="宋体"/>
                <w:color w:val="auto"/>
                <w:sz w:val="24"/>
                <w:szCs w:val="24"/>
              </w:rPr>
              <w:t>1</w:t>
            </w:r>
            <w:r>
              <w:rPr>
                <w:rFonts w:ascii="宋体" w:hAnsi="宋体" w:eastAsia="宋体" w:cs="宋体"/>
                <w:color w:val="auto"/>
                <w:sz w:val="24"/>
                <w:szCs w:val="24"/>
              </w:rPr>
              <w:t>6</w:t>
            </w:r>
            <w:r>
              <w:rPr>
                <w:rFonts w:hint="eastAsia" w:ascii="宋体" w:hAnsi="宋体" w:eastAsia="宋体" w:cs="宋体"/>
                <w:color w:val="auto"/>
                <w:sz w:val="24"/>
                <w:szCs w:val="24"/>
              </w:rPr>
              <w:t>5</w:t>
            </w:r>
            <w:r>
              <w:rPr>
                <w:rFonts w:hint="eastAsia" w:ascii="宋体" w:hAnsi="宋体" w:eastAsia="宋体" w:cs="宋体"/>
                <w:bCs/>
                <w:color w:val="auto"/>
                <w:kern w:val="0"/>
                <w:sz w:val="24"/>
                <w:szCs w:val="24"/>
                <w:highlight w:val="none"/>
                <w:lang w:val="en-US" w:eastAsia="zh-CN" w:bidi="ar-SA"/>
              </w:rPr>
              <w:t>kwh</w:t>
            </w:r>
            <w:r>
              <w:rPr>
                <w:rFonts w:hint="eastAsia" w:ascii="宋体" w:hAnsi="宋体" w:eastAsia="宋体" w:cs="宋体"/>
                <w:color w:val="auto"/>
                <w:sz w:val="24"/>
                <w:szCs w:val="24"/>
              </w:rPr>
              <w:t>≤</w:t>
            </w:r>
            <w:r>
              <w:rPr>
                <w:rFonts w:hint="eastAsia" w:ascii="宋体" w:hAnsi="宋体" w:eastAsia="宋体" w:cs="宋体"/>
                <w:bCs/>
                <w:color w:val="auto"/>
                <w:kern w:val="0"/>
                <w:sz w:val="24"/>
                <w:szCs w:val="24"/>
                <w:highlight w:val="none"/>
                <w:lang w:val="en-US" w:eastAsia="zh-CN" w:bidi="ar-SA"/>
              </w:rPr>
              <w:t>电池电量</w:t>
            </w:r>
            <w:r>
              <w:rPr>
                <w:rFonts w:hint="eastAsia" w:ascii="宋体" w:hAnsi="宋体" w:eastAsia="宋体"/>
                <w:color w:val="auto"/>
                <w:sz w:val="24"/>
                <w:szCs w:val="24"/>
              </w:rPr>
              <w:t>＜</w:t>
            </w:r>
            <w:r>
              <w:rPr>
                <w:rFonts w:hint="eastAsia" w:ascii="宋体" w:hAnsi="宋体" w:eastAsia="宋体" w:cs="宋体"/>
                <w:bCs/>
                <w:color w:val="auto"/>
                <w:kern w:val="0"/>
                <w:sz w:val="24"/>
                <w:szCs w:val="24"/>
                <w:highlight w:val="none"/>
                <w:lang w:val="en-US" w:eastAsia="zh-CN" w:bidi="ar-SA"/>
              </w:rPr>
              <w:t>175kwh</w:t>
            </w:r>
            <w:r>
              <w:rPr>
                <w:rFonts w:hint="eastAsia" w:ascii="宋体" w:hAnsi="宋体" w:eastAsia="宋体" w:cs="宋体"/>
                <w:color w:val="auto"/>
                <w:sz w:val="24"/>
                <w:szCs w:val="24"/>
              </w:rPr>
              <w:t>得2分，1</w:t>
            </w:r>
            <w:r>
              <w:rPr>
                <w:rFonts w:hint="eastAsia" w:cs="宋体"/>
                <w:color w:val="auto"/>
                <w:sz w:val="24"/>
                <w:szCs w:val="24"/>
                <w:lang w:val="en-US" w:eastAsia="zh-CN"/>
              </w:rPr>
              <w:t>55</w:t>
            </w:r>
            <w:r>
              <w:rPr>
                <w:rFonts w:hint="eastAsia" w:ascii="宋体" w:hAnsi="宋体" w:eastAsia="宋体" w:cs="宋体"/>
                <w:bCs/>
                <w:color w:val="auto"/>
                <w:kern w:val="0"/>
                <w:sz w:val="24"/>
                <w:szCs w:val="24"/>
                <w:highlight w:val="none"/>
                <w:lang w:val="en-US" w:eastAsia="zh-CN" w:bidi="ar-SA"/>
              </w:rPr>
              <w:t>kwh</w:t>
            </w:r>
            <w:r>
              <w:rPr>
                <w:rFonts w:hint="eastAsia" w:ascii="宋体" w:hAnsi="宋体" w:eastAsia="宋体" w:cs="宋体"/>
                <w:color w:val="auto"/>
                <w:sz w:val="24"/>
                <w:szCs w:val="24"/>
              </w:rPr>
              <w:t>≤</w:t>
            </w:r>
            <w:r>
              <w:rPr>
                <w:rFonts w:hint="eastAsia" w:ascii="宋体" w:hAnsi="宋体" w:eastAsia="宋体" w:cs="宋体"/>
                <w:bCs/>
                <w:color w:val="auto"/>
                <w:kern w:val="0"/>
                <w:sz w:val="24"/>
                <w:szCs w:val="24"/>
                <w:highlight w:val="none"/>
                <w:lang w:val="en-US" w:eastAsia="zh-CN" w:bidi="ar-SA"/>
              </w:rPr>
              <w:t>电池电量</w:t>
            </w:r>
            <w:r>
              <w:rPr>
                <w:rFonts w:hint="eastAsia" w:ascii="宋体" w:hAnsi="宋体" w:eastAsia="宋体"/>
                <w:color w:val="auto"/>
                <w:sz w:val="24"/>
                <w:szCs w:val="24"/>
              </w:rPr>
              <w:t>＜1</w:t>
            </w:r>
            <w:r>
              <w:rPr>
                <w:rFonts w:ascii="宋体" w:hAnsi="宋体" w:eastAsia="宋体"/>
                <w:color w:val="auto"/>
                <w:sz w:val="24"/>
                <w:szCs w:val="24"/>
              </w:rPr>
              <w:t>65</w:t>
            </w:r>
            <w:r>
              <w:rPr>
                <w:rFonts w:hint="eastAsia" w:ascii="宋体" w:hAnsi="宋体" w:eastAsia="宋体" w:cs="宋体"/>
                <w:bCs/>
                <w:color w:val="auto"/>
                <w:kern w:val="0"/>
                <w:sz w:val="24"/>
                <w:szCs w:val="24"/>
                <w:highlight w:val="none"/>
                <w:lang w:val="en-US" w:eastAsia="zh-CN" w:bidi="ar-SA"/>
              </w:rPr>
              <w:t>电池电量</w:t>
            </w:r>
            <w:r>
              <w:rPr>
                <w:rFonts w:hint="eastAsia" w:ascii="宋体" w:hAnsi="宋体" w:eastAsia="宋体" w:cs="宋体"/>
                <w:color w:val="auto"/>
                <w:sz w:val="24"/>
                <w:szCs w:val="24"/>
              </w:rPr>
              <w:t>得1分</w:t>
            </w:r>
            <w:r>
              <w:rPr>
                <w:rFonts w:ascii="宋体" w:hAnsi="宋体" w:eastAsia="宋体" w:cs="宋体"/>
                <w:color w:val="auto"/>
                <w:sz w:val="24"/>
                <w:szCs w:val="24"/>
              </w:rPr>
              <w:t>，其余不得分。</w:t>
            </w:r>
          </w:p>
          <w:p w14:paraId="7C83FA7B">
            <w:pPr>
              <w:widowControl/>
              <w:spacing w:line="360" w:lineRule="auto"/>
              <w:ind w:left="0" w:leftChars="0" w:right="0" w:rightChars="0"/>
              <w:rPr>
                <w:rFonts w:hint="eastAsia" w:ascii="宋体" w:hAnsi="宋体" w:eastAsia="宋体" w:cs="宋体"/>
                <w:color w:val="auto"/>
                <w:spacing w:val="-6"/>
                <w:sz w:val="24"/>
                <w:szCs w:val="24"/>
                <w:highlight w:val="none"/>
                <w:lang w:val="en-US" w:eastAsia="en-US" w:bidi="ar-SA"/>
              </w:rPr>
            </w:pPr>
            <w:r>
              <w:rPr>
                <w:rFonts w:hint="eastAsia" w:ascii="宋体" w:hAnsi="宋体" w:eastAsia="宋体" w:cs="宋体"/>
                <w:color w:val="auto"/>
                <w:sz w:val="24"/>
                <w:szCs w:val="24"/>
                <w:highlight w:val="none"/>
                <w:lang w:val="en-US" w:eastAsia="zh-CN"/>
              </w:rPr>
              <w:t>注：投标人需提供相关证明材料，以《减免车辆购置税的新能源汽车车型目录》里产品参数为准并加盖投标人公章，未提供不得分。</w:t>
            </w:r>
          </w:p>
        </w:tc>
      </w:tr>
      <w:tr w14:paraId="42FDA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dxa"/>
            <w:shd w:val="clear" w:color="auto" w:fill="auto"/>
            <w:vAlign w:val="center"/>
          </w:tcPr>
          <w:p w14:paraId="1FC4CA33">
            <w:pPr>
              <w:spacing w:line="360" w:lineRule="auto"/>
              <w:ind w:left="0" w:leftChars="0" w:right="0" w:rightChars="0"/>
              <w:jc w:val="left"/>
              <w:textAlignment w:val="center"/>
              <w:rPr>
                <w:rFonts w:hint="eastAsia" w:ascii="宋体" w:hAnsi="宋体" w:eastAsia="宋体" w:cs="宋体"/>
                <w:color w:val="auto"/>
                <w:kern w:val="0"/>
                <w:sz w:val="24"/>
                <w:szCs w:val="24"/>
                <w:lang w:val="en-US" w:eastAsia="en-US" w:bidi="ar-SA"/>
              </w:rPr>
            </w:pPr>
            <w:r>
              <w:rPr>
                <w:rFonts w:hint="eastAsia" w:ascii="宋体" w:hAnsi="宋体" w:eastAsia="宋体" w:cs="宋体"/>
                <w:color w:val="auto"/>
                <w:kern w:val="0"/>
                <w:sz w:val="24"/>
                <w:szCs w:val="24"/>
                <w:lang w:val="en-US" w:eastAsia="zh-CN"/>
              </w:rPr>
              <w:t>4.</w:t>
            </w:r>
            <w:r>
              <w:rPr>
                <w:rFonts w:hint="eastAsia" w:ascii="宋体" w:hAnsi="宋体" w:eastAsia="宋体" w:cs="宋体"/>
                <w:bCs/>
                <w:color w:val="auto"/>
                <w:kern w:val="0"/>
                <w:sz w:val="24"/>
                <w:szCs w:val="24"/>
                <w:lang w:val="en-US" w:eastAsia="zh-CN" w:bidi="ar-SA"/>
              </w:rPr>
              <w:t>电机性能</w:t>
            </w:r>
          </w:p>
        </w:tc>
        <w:tc>
          <w:tcPr>
            <w:tcW w:w="750" w:type="dxa"/>
            <w:vAlign w:val="center"/>
          </w:tcPr>
          <w:p w14:paraId="1683CCFB">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hint="eastAsia" w:ascii="宋体" w:hAnsi="宋体" w:eastAsia="宋体" w:cs="宋体"/>
                <w:b w:val="0"/>
                <w:bCs/>
                <w:color w:val="auto"/>
                <w:sz w:val="24"/>
                <w:szCs w:val="24"/>
                <w:vertAlign w:val="baseline"/>
                <w:lang w:val="en-US" w:eastAsia="zh-CN"/>
              </w:rPr>
            </w:pPr>
            <w:r>
              <w:rPr>
                <w:rFonts w:hint="eastAsia" w:ascii="宋体" w:hAnsi="宋体" w:eastAsia="宋体" w:cs="宋体"/>
                <w:b w:val="0"/>
                <w:bCs/>
                <w:color w:val="auto"/>
                <w:sz w:val="24"/>
                <w:szCs w:val="24"/>
                <w:vertAlign w:val="baseline"/>
                <w:lang w:val="en-US" w:eastAsia="zh-CN"/>
              </w:rPr>
              <w:t>3</w:t>
            </w:r>
          </w:p>
        </w:tc>
        <w:tc>
          <w:tcPr>
            <w:tcW w:w="8151" w:type="dxa"/>
            <w:vAlign w:val="center"/>
          </w:tcPr>
          <w:p w14:paraId="3931E42A">
            <w:pPr>
              <w:spacing w:line="360" w:lineRule="auto"/>
              <w:ind w:left="0" w:leftChars="0" w:right="0" w:rightChars="0"/>
              <w:rPr>
                <w:rFonts w:hint="eastAsia" w:cs="宋体"/>
                <w:bCs/>
                <w:color w:val="auto"/>
                <w:kern w:val="0"/>
                <w:sz w:val="24"/>
                <w:szCs w:val="24"/>
                <w:highlight w:val="none"/>
                <w:lang w:val="en-US" w:eastAsia="zh-CN" w:bidi="ar-SA"/>
              </w:rPr>
            </w:pPr>
            <w:r>
              <w:rPr>
                <w:rFonts w:hint="eastAsia" w:ascii="宋体" w:hAnsi="宋体" w:eastAsia="宋体" w:cs="宋体"/>
                <w:color w:val="auto"/>
                <w:spacing w:val="-6"/>
                <w:sz w:val="24"/>
                <w:szCs w:val="24"/>
                <w:highlight w:val="none"/>
                <w:lang w:val="en-US" w:eastAsia="en-US" w:bidi="ar-SA"/>
              </w:rPr>
              <w:t>根据</w:t>
            </w:r>
            <w:r>
              <w:rPr>
                <w:rFonts w:hint="eastAsia" w:ascii="宋体" w:hAnsi="宋体" w:eastAsia="宋体" w:cs="宋体"/>
                <w:bCs/>
                <w:color w:val="auto"/>
                <w:kern w:val="0"/>
                <w:sz w:val="24"/>
                <w:szCs w:val="24"/>
                <w:highlight w:val="none"/>
                <w:lang w:val="en-US" w:eastAsia="zh-CN" w:bidi="ar-SA"/>
              </w:rPr>
              <w:t>投标人所投</w:t>
            </w:r>
            <w:r>
              <w:rPr>
                <w:rFonts w:hint="eastAsia" w:cs="宋体"/>
                <w:bCs/>
                <w:color w:val="auto"/>
                <w:kern w:val="0"/>
                <w:sz w:val="24"/>
                <w:szCs w:val="24"/>
                <w:highlight w:val="none"/>
                <w:lang w:val="en-US" w:eastAsia="zh-CN" w:bidi="ar-SA"/>
              </w:rPr>
              <w:t>车辆</w:t>
            </w:r>
            <w:r>
              <w:rPr>
                <w:rFonts w:hint="eastAsia" w:ascii="宋体" w:hAnsi="宋体" w:eastAsia="宋体" w:cs="宋体"/>
                <w:bCs/>
                <w:color w:val="auto"/>
                <w:kern w:val="0"/>
                <w:sz w:val="24"/>
                <w:szCs w:val="24"/>
                <w:highlight w:val="none"/>
                <w:lang w:val="en-US" w:eastAsia="zh-CN" w:bidi="ar-SA"/>
              </w:rPr>
              <w:t>驱动电机峰值功率≥240kw的得3分</w:t>
            </w:r>
            <w:r>
              <w:rPr>
                <w:rFonts w:hint="eastAsia" w:cs="宋体"/>
                <w:bCs/>
                <w:color w:val="auto"/>
                <w:kern w:val="0"/>
                <w:sz w:val="24"/>
                <w:szCs w:val="24"/>
                <w:highlight w:val="none"/>
                <w:lang w:val="en-US" w:eastAsia="zh-CN" w:bidi="ar-SA"/>
              </w:rPr>
              <w:t>，</w:t>
            </w:r>
            <w:r>
              <w:rPr>
                <w:rFonts w:hint="eastAsia" w:ascii="宋体" w:hAnsi="宋体" w:eastAsia="宋体" w:cs="宋体"/>
                <w:bCs/>
                <w:color w:val="auto"/>
                <w:kern w:val="0"/>
                <w:sz w:val="24"/>
                <w:szCs w:val="24"/>
                <w:highlight w:val="none"/>
                <w:lang w:val="en-US" w:eastAsia="zh-CN" w:bidi="ar-SA"/>
              </w:rPr>
              <w:t>2</w:t>
            </w:r>
            <w:r>
              <w:rPr>
                <w:rFonts w:hint="eastAsia" w:cs="宋体"/>
                <w:bCs/>
                <w:color w:val="auto"/>
                <w:kern w:val="0"/>
                <w:sz w:val="24"/>
                <w:szCs w:val="24"/>
                <w:highlight w:val="none"/>
                <w:lang w:val="en-US" w:eastAsia="zh-CN" w:bidi="ar-SA"/>
              </w:rPr>
              <w:t>30</w:t>
            </w:r>
            <w:r>
              <w:rPr>
                <w:rFonts w:hint="eastAsia" w:ascii="宋体" w:hAnsi="宋体" w:eastAsia="宋体" w:cs="宋体"/>
                <w:bCs/>
                <w:color w:val="auto"/>
                <w:kern w:val="0"/>
                <w:sz w:val="24"/>
                <w:szCs w:val="24"/>
                <w:highlight w:val="none"/>
                <w:lang w:val="en-US" w:eastAsia="zh-CN" w:bidi="ar-SA"/>
              </w:rPr>
              <w:t>kw</w:t>
            </w:r>
            <w:r>
              <w:rPr>
                <w:rFonts w:hint="eastAsia" w:ascii="宋体" w:hAnsi="宋体" w:eastAsia="宋体" w:cs="宋体"/>
                <w:color w:val="auto"/>
                <w:sz w:val="24"/>
                <w:szCs w:val="24"/>
              </w:rPr>
              <w:t>≤</w:t>
            </w:r>
            <w:r>
              <w:rPr>
                <w:rFonts w:hint="eastAsia" w:ascii="宋体" w:hAnsi="宋体" w:eastAsia="宋体" w:cs="宋体"/>
                <w:bCs/>
                <w:color w:val="auto"/>
                <w:kern w:val="0"/>
                <w:sz w:val="24"/>
                <w:szCs w:val="24"/>
                <w:highlight w:val="none"/>
                <w:lang w:val="en-US" w:eastAsia="zh-CN" w:bidi="ar-SA"/>
              </w:rPr>
              <w:t>驱动电机峰值功率</w:t>
            </w:r>
            <w:r>
              <w:rPr>
                <w:rFonts w:hint="eastAsia" w:ascii="宋体" w:hAnsi="宋体" w:eastAsia="宋体"/>
                <w:color w:val="auto"/>
                <w:sz w:val="24"/>
                <w:szCs w:val="24"/>
              </w:rPr>
              <w:t>＜</w:t>
            </w:r>
            <w:r>
              <w:rPr>
                <w:rFonts w:hint="eastAsia" w:ascii="宋体" w:hAnsi="宋体" w:eastAsia="宋体" w:cs="宋体"/>
                <w:bCs/>
                <w:color w:val="auto"/>
                <w:kern w:val="0"/>
                <w:sz w:val="24"/>
                <w:szCs w:val="24"/>
                <w:highlight w:val="none"/>
                <w:lang w:val="en-US" w:eastAsia="zh-CN" w:bidi="ar-SA"/>
              </w:rPr>
              <w:t>240kw</w:t>
            </w:r>
            <w:r>
              <w:rPr>
                <w:rFonts w:hint="eastAsia" w:ascii="宋体" w:hAnsi="宋体" w:eastAsia="宋体" w:cs="宋体"/>
                <w:color w:val="auto"/>
                <w:sz w:val="24"/>
                <w:szCs w:val="24"/>
              </w:rPr>
              <w:t>得2分，</w:t>
            </w:r>
            <w:r>
              <w:rPr>
                <w:rFonts w:hint="eastAsia" w:cs="宋体"/>
                <w:color w:val="auto"/>
                <w:sz w:val="24"/>
                <w:szCs w:val="24"/>
                <w:lang w:val="en-US" w:eastAsia="zh-CN"/>
              </w:rPr>
              <w:t>220</w:t>
            </w:r>
            <w:r>
              <w:rPr>
                <w:rFonts w:hint="eastAsia" w:ascii="宋体" w:hAnsi="宋体" w:eastAsia="宋体" w:cs="宋体"/>
                <w:bCs/>
                <w:color w:val="auto"/>
                <w:kern w:val="0"/>
                <w:sz w:val="24"/>
                <w:szCs w:val="24"/>
                <w:highlight w:val="none"/>
                <w:lang w:val="en-US" w:eastAsia="zh-CN" w:bidi="ar-SA"/>
              </w:rPr>
              <w:t>kw</w:t>
            </w:r>
            <w:r>
              <w:rPr>
                <w:rFonts w:hint="eastAsia" w:ascii="宋体" w:hAnsi="宋体" w:eastAsia="宋体" w:cs="宋体"/>
                <w:color w:val="auto"/>
                <w:sz w:val="24"/>
                <w:szCs w:val="24"/>
              </w:rPr>
              <w:t>≤</w:t>
            </w:r>
            <w:r>
              <w:rPr>
                <w:rFonts w:hint="eastAsia" w:ascii="宋体" w:hAnsi="宋体" w:eastAsia="宋体" w:cs="宋体"/>
                <w:bCs/>
                <w:color w:val="auto"/>
                <w:kern w:val="0"/>
                <w:sz w:val="24"/>
                <w:szCs w:val="24"/>
                <w:highlight w:val="none"/>
                <w:lang w:val="en-US" w:eastAsia="zh-CN" w:bidi="ar-SA"/>
              </w:rPr>
              <w:t>驱动电机峰值功率</w:t>
            </w:r>
            <w:r>
              <w:rPr>
                <w:rFonts w:hint="eastAsia" w:ascii="宋体" w:hAnsi="宋体" w:eastAsia="宋体"/>
                <w:color w:val="auto"/>
                <w:sz w:val="24"/>
                <w:szCs w:val="24"/>
              </w:rPr>
              <w:t>＜</w:t>
            </w:r>
            <w:r>
              <w:rPr>
                <w:rFonts w:hint="eastAsia" w:ascii="宋体" w:hAnsi="宋体" w:eastAsia="宋体" w:cs="宋体"/>
                <w:bCs/>
                <w:color w:val="auto"/>
                <w:kern w:val="0"/>
                <w:sz w:val="24"/>
                <w:szCs w:val="24"/>
                <w:highlight w:val="none"/>
                <w:lang w:val="en-US" w:eastAsia="zh-CN" w:bidi="ar-SA"/>
              </w:rPr>
              <w:t>2</w:t>
            </w:r>
            <w:r>
              <w:rPr>
                <w:rFonts w:hint="eastAsia" w:cs="宋体"/>
                <w:bCs/>
                <w:color w:val="auto"/>
                <w:kern w:val="0"/>
                <w:sz w:val="24"/>
                <w:szCs w:val="24"/>
                <w:highlight w:val="none"/>
                <w:lang w:val="en-US" w:eastAsia="zh-CN" w:bidi="ar-SA"/>
              </w:rPr>
              <w:t>30</w:t>
            </w:r>
            <w:r>
              <w:rPr>
                <w:rFonts w:hint="eastAsia" w:ascii="宋体" w:hAnsi="宋体" w:eastAsia="宋体" w:cs="宋体"/>
                <w:bCs/>
                <w:color w:val="auto"/>
                <w:kern w:val="0"/>
                <w:sz w:val="24"/>
                <w:szCs w:val="24"/>
                <w:highlight w:val="none"/>
                <w:lang w:val="en-US" w:eastAsia="zh-CN" w:bidi="ar-SA"/>
              </w:rPr>
              <w:t>kw</w:t>
            </w:r>
            <w:r>
              <w:rPr>
                <w:rFonts w:hint="eastAsia" w:ascii="宋体" w:hAnsi="宋体" w:eastAsia="宋体" w:cs="宋体"/>
                <w:color w:val="auto"/>
                <w:sz w:val="24"/>
                <w:szCs w:val="24"/>
              </w:rPr>
              <w:t>得1分</w:t>
            </w:r>
            <w:r>
              <w:rPr>
                <w:rFonts w:ascii="宋体" w:hAnsi="宋体" w:eastAsia="宋体" w:cs="宋体"/>
                <w:color w:val="auto"/>
                <w:sz w:val="24"/>
                <w:szCs w:val="24"/>
              </w:rPr>
              <w:t>，其余不得分。</w:t>
            </w:r>
          </w:p>
          <w:p w14:paraId="27E6BA2D">
            <w:pPr>
              <w:spacing w:line="360" w:lineRule="auto"/>
              <w:ind w:left="0" w:leftChars="0" w:right="0" w:rightChars="0"/>
              <w:rPr>
                <w:rFonts w:hint="eastAsia" w:ascii="宋体" w:hAnsi="宋体" w:eastAsia="宋体" w:cs="宋体"/>
                <w:color w:val="auto"/>
                <w:spacing w:val="-6"/>
                <w:sz w:val="24"/>
                <w:szCs w:val="24"/>
                <w:highlight w:val="none"/>
                <w:lang w:val="en-US" w:eastAsia="en-US" w:bidi="ar-SA"/>
              </w:rPr>
            </w:pPr>
            <w:r>
              <w:rPr>
                <w:rFonts w:hint="eastAsia" w:ascii="宋体" w:hAnsi="宋体" w:eastAsia="宋体" w:cs="宋体"/>
                <w:color w:val="auto"/>
                <w:sz w:val="24"/>
                <w:szCs w:val="24"/>
                <w:highlight w:val="none"/>
                <w:lang w:val="en-US" w:eastAsia="zh-CN"/>
              </w:rPr>
              <w:t>注:投标人需提供相关证明材料，以投标车型最新的工信部产品公告为准，并加盖投标人公章，未提供证明材料不得分。</w:t>
            </w:r>
          </w:p>
        </w:tc>
      </w:tr>
    </w:tbl>
    <w:p w14:paraId="2E20487B">
      <w:pPr>
        <w:pStyle w:val="4"/>
        <w:spacing w:before="1"/>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商务项（F3×A3）满分为 </w:t>
      </w:r>
      <w:r>
        <w:rPr>
          <w:rFonts w:hint="eastAsia" w:asciiTheme="minorEastAsia" w:hAnsiTheme="minorEastAsia" w:eastAsiaTheme="minorEastAsia" w:cstheme="minorEastAsia"/>
          <w:color w:val="auto"/>
          <w:lang w:val="en-US" w:eastAsia="zh-CN"/>
        </w:rPr>
        <w:t>12.00</w:t>
      </w:r>
      <w:r>
        <w:rPr>
          <w:rFonts w:hint="eastAsia" w:asciiTheme="minorEastAsia" w:hAnsiTheme="minorEastAsia" w:eastAsiaTheme="minorEastAsia" w:cstheme="minorEastAsia"/>
          <w:color w:val="auto"/>
        </w:rPr>
        <w:t>分</w:t>
      </w:r>
    </w:p>
    <w:tbl>
      <w:tblPr>
        <w:tblStyle w:val="18"/>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157"/>
        <w:gridCol w:w="735"/>
        <w:gridCol w:w="8178"/>
      </w:tblGrid>
      <w:tr w14:paraId="701D0D6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57"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367D0917">
            <w:pPr>
              <w:widowControl/>
              <w:wordWrap w:val="0"/>
              <w:spacing w:line="360" w:lineRule="auto"/>
              <w:jc w:val="center"/>
              <w:rPr>
                <w:rFonts w:hint="eastAsia" w:ascii="宋体" w:hAnsi="宋体" w:eastAsia="宋体" w:cs="宋体"/>
                <w:b/>
                <w:bCs/>
                <w:color w:val="auto"/>
                <w:sz w:val="24"/>
                <w:szCs w:val="24"/>
              </w:rPr>
            </w:pPr>
            <w:r>
              <w:rPr>
                <w:rFonts w:hint="eastAsia" w:ascii="宋体" w:hAnsi="宋体" w:eastAsia="宋体" w:cs="宋体"/>
                <w:b/>
                <w:bCs/>
                <w:color w:val="auto"/>
                <w:kern w:val="0"/>
                <w:sz w:val="24"/>
                <w:szCs w:val="24"/>
              </w:rPr>
              <w:t>项目</w:t>
            </w:r>
          </w:p>
        </w:tc>
        <w:tc>
          <w:tcPr>
            <w:tcW w:w="73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5A112557">
            <w:pPr>
              <w:widowControl/>
              <w:wordWrap w:val="0"/>
              <w:spacing w:line="360" w:lineRule="auto"/>
              <w:jc w:val="center"/>
              <w:rPr>
                <w:rFonts w:hint="eastAsia" w:ascii="宋体" w:hAnsi="宋体" w:eastAsia="宋体" w:cs="宋体"/>
                <w:b/>
                <w:bCs/>
                <w:color w:val="auto"/>
                <w:sz w:val="24"/>
                <w:szCs w:val="24"/>
              </w:rPr>
            </w:pPr>
            <w:r>
              <w:rPr>
                <w:rFonts w:hint="eastAsia" w:ascii="宋体" w:hAnsi="宋体" w:eastAsia="宋体" w:cs="宋体"/>
                <w:b/>
                <w:bCs/>
                <w:color w:val="auto"/>
                <w:kern w:val="0"/>
                <w:sz w:val="24"/>
                <w:szCs w:val="24"/>
              </w:rPr>
              <w:t>分值</w:t>
            </w:r>
          </w:p>
        </w:tc>
        <w:tc>
          <w:tcPr>
            <w:tcW w:w="817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459185BD">
            <w:pPr>
              <w:widowControl/>
              <w:wordWrap w:val="0"/>
              <w:spacing w:line="360" w:lineRule="auto"/>
              <w:jc w:val="center"/>
              <w:rPr>
                <w:rFonts w:hint="eastAsia" w:ascii="宋体" w:hAnsi="宋体" w:eastAsia="宋体" w:cs="宋体"/>
                <w:b/>
                <w:bCs/>
                <w:color w:val="auto"/>
                <w:sz w:val="24"/>
                <w:szCs w:val="24"/>
              </w:rPr>
            </w:pPr>
            <w:r>
              <w:rPr>
                <w:rFonts w:hint="eastAsia" w:ascii="宋体" w:hAnsi="宋体" w:eastAsia="宋体" w:cs="宋体"/>
                <w:b/>
                <w:bCs/>
                <w:color w:val="auto"/>
                <w:kern w:val="0"/>
                <w:sz w:val="24"/>
                <w:szCs w:val="24"/>
              </w:rPr>
              <w:t>描述</w:t>
            </w:r>
          </w:p>
        </w:tc>
      </w:tr>
      <w:tr w14:paraId="2C43591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57" w:type="dxa"/>
            <w:vMerge w:val="restart"/>
            <w:tcBorders>
              <w:top w:val="single" w:color="000000" w:sz="6" w:space="0"/>
              <w:left w:val="single" w:color="000000" w:sz="6" w:space="0"/>
              <w:right w:val="single" w:color="000000" w:sz="6" w:space="0"/>
            </w:tcBorders>
            <w:shd w:val="clear" w:color="auto" w:fill="auto"/>
            <w:tcMar>
              <w:left w:w="120" w:type="dxa"/>
              <w:right w:w="120" w:type="dxa"/>
            </w:tcMar>
            <w:vAlign w:val="center"/>
          </w:tcPr>
          <w:p w14:paraId="613ED082">
            <w:pPr>
              <w:widowControl/>
              <w:wordWrap w:val="0"/>
              <w:spacing w:line="360" w:lineRule="auto"/>
              <w:jc w:val="center"/>
              <w:rPr>
                <w:rFonts w:hint="eastAsia" w:ascii="宋体" w:hAnsi="宋体" w:eastAsia="宋体" w:cs="宋体"/>
                <w:color w:val="auto"/>
                <w:sz w:val="24"/>
                <w:szCs w:val="24"/>
              </w:rPr>
            </w:pPr>
            <w:r>
              <w:rPr>
                <w:rFonts w:hint="eastAsia" w:ascii="宋体" w:hAnsi="宋体" w:eastAsia="宋体" w:cs="宋体"/>
                <w:color w:val="auto"/>
                <w:kern w:val="0"/>
                <w:sz w:val="24"/>
                <w:szCs w:val="24"/>
              </w:rPr>
              <w:t>1.</w:t>
            </w:r>
            <w:r>
              <w:rPr>
                <w:rFonts w:hint="eastAsia" w:ascii="宋体" w:hAnsi="宋体" w:eastAsia="宋体" w:cs="宋体"/>
                <w:color w:val="auto"/>
                <w:sz w:val="24"/>
                <w:szCs w:val="24"/>
              </w:rPr>
              <w:t>综合实力</w:t>
            </w:r>
          </w:p>
        </w:tc>
        <w:tc>
          <w:tcPr>
            <w:tcW w:w="73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5D3145F0">
            <w:pPr>
              <w:widowControl/>
              <w:wordWrap w:val="0"/>
              <w:spacing w:line="360" w:lineRule="auto"/>
              <w:ind w:left="0" w:leftChars="0" w:right="0" w:rightChars="0"/>
              <w:jc w:val="center"/>
              <w:rPr>
                <w:rFonts w:hint="eastAsia" w:ascii="宋体" w:hAnsi="宋体" w:eastAsia="宋体" w:cs="宋体"/>
                <w:color w:val="auto"/>
                <w:sz w:val="24"/>
                <w:szCs w:val="24"/>
              </w:rPr>
            </w:pPr>
            <w:r>
              <w:rPr>
                <w:rFonts w:hint="eastAsia" w:ascii="宋体" w:hAnsi="宋体" w:eastAsia="宋体" w:cs="宋体"/>
                <w:color w:val="auto"/>
                <w:spacing w:val="-6"/>
                <w:sz w:val="24"/>
                <w:szCs w:val="24"/>
                <w:lang w:val="en-US" w:eastAsia="zh-CN" w:bidi="ar-SA"/>
              </w:rPr>
              <w:t>3</w:t>
            </w:r>
          </w:p>
        </w:tc>
        <w:tc>
          <w:tcPr>
            <w:tcW w:w="817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190D855D">
            <w:pPr>
              <w:widowControl/>
              <w:numPr>
                <w:ilvl w:val="1"/>
                <w:numId w:val="61"/>
              </w:numPr>
              <w:wordWrap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pacing w:val="-6"/>
                <w:sz w:val="24"/>
                <w:szCs w:val="24"/>
                <w:highlight w:val="none"/>
                <w:lang w:val="en-US" w:eastAsia="en-US" w:bidi="ar-SA"/>
              </w:rPr>
              <w:t>根据投标人</w:t>
            </w:r>
            <w:r>
              <w:rPr>
                <w:rFonts w:hint="eastAsia" w:ascii="宋体" w:hAnsi="宋体" w:eastAsia="宋体" w:cs="宋体"/>
                <w:color w:val="auto"/>
                <w:spacing w:val="-6"/>
                <w:sz w:val="24"/>
                <w:szCs w:val="24"/>
                <w:highlight w:val="none"/>
                <w:lang w:val="en-US" w:eastAsia="zh-CN" w:bidi="ar-SA"/>
              </w:rPr>
              <w:t>所</w:t>
            </w:r>
            <w:r>
              <w:rPr>
                <w:rFonts w:hint="eastAsia" w:cs="宋体"/>
                <w:color w:val="auto"/>
                <w:spacing w:val="-6"/>
                <w:sz w:val="24"/>
                <w:szCs w:val="24"/>
                <w:highlight w:val="none"/>
                <w:lang w:val="en-US" w:eastAsia="zh-CN" w:bidi="ar-SA"/>
              </w:rPr>
              <w:t>投车辆的</w:t>
            </w:r>
            <w:r>
              <w:rPr>
                <w:rFonts w:hint="eastAsia" w:ascii="宋体" w:hAnsi="宋体" w:eastAsia="宋体" w:cs="宋体"/>
                <w:bCs/>
                <w:color w:val="auto"/>
                <w:kern w:val="0"/>
                <w:sz w:val="24"/>
                <w:szCs w:val="24"/>
                <w:highlight w:val="none"/>
                <w:lang w:val="en-US" w:eastAsia="zh-CN" w:bidi="ar-SA"/>
              </w:rPr>
              <w:t>生产厂家具有新能源相关</w:t>
            </w:r>
            <w:r>
              <w:rPr>
                <w:rFonts w:hint="eastAsia" w:cs="宋体"/>
                <w:bCs/>
                <w:color w:val="auto"/>
                <w:kern w:val="0"/>
                <w:sz w:val="24"/>
                <w:szCs w:val="24"/>
                <w:highlight w:val="none"/>
                <w:lang w:val="en-US" w:eastAsia="zh-CN" w:bidi="ar-SA"/>
              </w:rPr>
              <w:t>的</w:t>
            </w:r>
            <w:r>
              <w:rPr>
                <w:rFonts w:hint="eastAsia" w:ascii="宋体" w:hAnsi="宋体" w:eastAsia="宋体" w:cs="宋体"/>
                <w:bCs/>
                <w:color w:val="auto"/>
                <w:kern w:val="0"/>
                <w:sz w:val="24"/>
                <w:szCs w:val="24"/>
                <w:highlight w:val="none"/>
                <w:lang w:val="en-US" w:eastAsia="zh-CN" w:bidi="ar-SA"/>
              </w:rPr>
              <w:t>国家地方联合工程实验室</w:t>
            </w:r>
            <w:r>
              <w:rPr>
                <w:rFonts w:hint="eastAsia" w:cs="宋体"/>
                <w:bCs/>
                <w:color w:val="auto"/>
                <w:kern w:val="0"/>
                <w:sz w:val="24"/>
                <w:szCs w:val="24"/>
                <w:highlight w:val="none"/>
                <w:lang w:val="en-US" w:eastAsia="zh-CN" w:bidi="ar-SA"/>
              </w:rPr>
              <w:t>的</w:t>
            </w:r>
            <w:r>
              <w:rPr>
                <w:rFonts w:hint="eastAsia" w:ascii="宋体" w:hAnsi="宋体" w:eastAsia="宋体" w:cs="宋体"/>
                <w:bCs/>
                <w:color w:val="auto"/>
                <w:kern w:val="0"/>
                <w:sz w:val="24"/>
                <w:szCs w:val="24"/>
                <w:highlight w:val="none"/>
                <w:lang w:val="en-US" w:eastAsia="zh-CN" w:bidi="ar-SA"/>
              </w:rPr>
              <w:t>得3分</w:t>
            </w:r>
            <w:r>
              <w:rPr>
                <w:rFonts w:hint="eastAsia" w:cs="宋体"/>
                <w:bCs/>
                <w:color w:val="auto"/>
                <w:kern w:val="0"/>
                <w:sz w:val="24"/>
                <w:szCs w:val="24"/>
                <w:highlight w:val="none"/>
                <w:lang w:val="en-US" w:eastAsia="zh-CN" w:bidi="ar-SA"/>
              </w:rPr>
              <w:t>。</w:t>
            </w:r>
          </w:p>
          <w:p w14:paraId="70AC411D">
            <w:pPr>
              <w:widowControl/>
              <w:numPr>
                <w:ilvl w:val="0"/>
                <w:numId w:val="0"/>
              </w:numPr>
              <w:wordWrap w:val="0"/>
              <w:spacing w:line="360" w:lineRule="auto"/>
              <w:ind w:leftChars="0" w:right="0" w:rightChars="0"/>
              <w:jc w:val="left"/>
              <w:rPr>
                <w:rFonts w:hint="eastAsia" w:ascii="宋体" w:hAnsi="宋体" w:eastAsia="宋体" w:cs="宋体"/>
                <w:color w:val="auto"/>
                <w:sz w:val="24"/>
                <w:szCs w:val="24"/>
                <w:highlight w:val="none"/>
              </w:rPr>
            </w:pPr>
            <w:r>
              <w:rPr>
                <w:rFonts w:hint="eastAsia" w:ascii="宋体" w:hAnsi="宋体" w:eastAsia="宋体" w:cs="宋体"/>
                <w:bCs/>
                <w:color w:val="auto"/>
                <w:kern w:val="0"/>
                <w:sz w:val="24"/>
                <w:szCs w:val="24"/>
                <w:highlight w:val="none"/>
                <w:lang w:val="en-US" w:eastAsia="zh-CN" w:bidi="ar-SA"/>
              </w:rPr>
              <w:t>注：投标人须提供国家发改委相关证明文件并加盖公章，未提供的不得分。</w:t>
            </w:r>
          </w:p>
        </w:tc>
      </w:tr>
      <w:tr w14:paraId="2C22C89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57" w:type="dxa"/>
            <w:vMerge w:val="continue"/>
            <w:tcBorders>
              <w:left w:val="single" w:color="000000" w:sz="6" w:space="0"/>
              <w:right w:val="single" w:color="000000" w:sz="6" w:space="0"/>
            </w:tcBorders>
            <w:shd w:val="clear" w:color="auto" w:fill="auto"/>
            <w:tcMar>
              <w:left w:w="120" w:type="dxa"/>
              <w:right w:w="120" w:type="dxa"/>
            </w:tcMar>
            <w:vAlign w:val="center"/>
          </w:tcPr>
          <w:p w14:paraId="00B98638">
            <w:pPr>
              <w:widowControl/>
              <w:wordWrap w:val="0"/>
              <w:spacing w:line="360" w:lineRule="auto"/>
              <w:jc w:val="center"/>
              <w:rPr>
                <w:rFonts w:hint="eastAsia" w:ascii="宋体" w:hAnsi="宋体" w:eastAsia="宋体" w:cs="宋体"/>
                <w:color w:val="auto"/>
                <w:kern w:val="0"/>
                <w:sz w:val="24"/>
                <w:szCs w:val="24"/>
              </w:rPr>
            </w:pPr>
          </w:p>
        </w:tc>
        <w:tc>
          <w:tcPr>
            <w:tcW w:w="73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018EB653">
            <w:pPr>
              <w:widowControl/>
              <w:wordWrap w:val="0"/>
              <w:spacing w:line="360" w:lineRule="auto"/>
              <w:ind w:left="0" w:leftChars="0" w:right="0" w:rightChars="0"/>
              <w:jc w:val="center"/>
              <w:rPr>
                <w:rFonts w:hint="eastAsia" w:ascii="宋体" w:hAnsi="宋体" w:eastAsia="宋体" w:cs="宋体"/>
                <w:color w:val="auto"/>
                <w:spacing w:val="-6"/>
                <w:sz w:val="24"/>
                <w:szCs w:val="24"/>
                <w:lang w:val="en-US" w:eastAsia="zh-CN" w:bidi="ar-SA"/>
              </w:rPr>
            </w:pPr>
            <w:r>
              <w:rPr>
                <w:rFonts w:hint="eastAsia" w:ascii="宋体" w:hAnsi="宋体" w:eastAsia="宋体" w:cs="宋体"/>
                <w:color w:val="auto"/>
                <w:spacing w:val="-6"/>
                <w:sz w:val="24"/>
                <w:szCs w:val="24"/>
                <w:lang w:val="en-US" w:eastAsia="zh-CN" w:bidi="ar-SA"/>
              </w:rPr>
              <w:t>3</w:t>
            </w:r>
          </w:p>
        </w:tc>
        <w:tc>
          <w:tcPr>
            <w:tcW w:w="817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31C7EB68">
            <w:pPr>
              <w:widowControl/>
              <w:numPr>
                <w:ilvl w:val="1"/>
                <w:numId w:val="61"/>
              </w:numPr>
              <w:spacing w:line="360" w:lineRule="auto"/>
              <w:ind w:left="0" w:leftChars="0" w:right="0" w:rightChars="0" w:firstLine="0" w:firstLineChars="0"/>
              <w:jc w:val="left"/>
              <w:textAlignment w:val="center"/>
              <w:rPr>
                <w:rFonts w:hint="eastAsia" w:ascii="宋体" w:hAnsi="宋体" w:eastAsia="宋体" w:cs="宋体"/>
                <w:bCs/>
                <w:color w:val="auto"/>
                <w:kern w:val="0"/>
                <w:sz w:val="24"/>
                <w:szCs w:val="24"/>
                <w:highlight w:val="none"/>
                <w:lang w:val="en-US" w:eastAsia="zh-CN" w:bidi="ar-SA"/>
              </w:rPr>
            </w:pPr>
            <w:r>
              <w:rPr>
                <w:rFonts w:hint="eastAsia" w:cs="宋体"/>
                <w:color w:val="auto"/>
                <w:kern w:val="0"/>
                <w:sz w:val="24"/>
                <w:szCs w:val="24"/>
                <w:highlight w:val="none"/>
                <w:lang w:val="en-US" w:eastAsia="zh-CN"/>
              </w:rPr>
              <w:t>根据</w:t>
            </w:r>
            <w:r>
              <w:rPr>
                <w:rFonts w:hint="eastAsia" w:ascii="宋体" w:hAnsi="宋体" w:eastAsia="宋体" w:cs="宋体"/>
                <w:bCs/>
                <w:color w:val="auto"/>
                <w:kern w:val="0"/>
                <w:sz w:val="24"/>
                <w:szCs w:val="24"/>
                <w:highlight w:val="none"/>
                <w:lang w:val="en-US" w:eastAsia="zh-CN" w:bidi="ar-SA"/>
              </w:rPr>
              <w:t>投标人</w:t>
            </w:r>
            <w:r>
              <w:rPr>
                <w:rFonts w:hint="eastAsia" w:cs="宋体"/>
                <w:bCs/>
                <w:color w:val="auto"/>
                <w:kern w:val="0"/>
                <w:sz w:val="24"/>
                <w:szCs w:val="24"/>
                <w:highlight w:val="none"/>
                <w:lang w:val="en-US" w:eastAsia="zh-CN" w:bidi="ar-SA"/>
              </w:rPr>
              <w:t>（含</w:t>
            </w:r>
            <w:r>
              <w:rPr>
                <w:rFonts w:hint="eastAsia" w:ascii="宋体" w:hAnsi="宋体" w:eastAsia="宋体" w:cs="宋体"/>
                <w:bCs/>
                <w:color w:val="auto"/>
                <w:kern w:val="0"/>
                <w:sz w:val="24"/>
                <w:szCs w:val="24"/>
                <w:highlight w:val="none"/>
                <w:lang w:val="en-US" w:eastAsia="zh-CN" w:bidi="ar-SA"/>
              </w:rPr>
              <w:t>所投的</w:t>
            </w:r>
            <w:r>
              <w:rPr>
                <w:rFonts w:hint="eastAsia" w:cs="宋体"/>
                <w:bCs/>
                <w:color w:val="auto"/>
                <w:kern w:val="0"/>
                <w:sz w:val="24"/>
                <w:szCs w:val="24"/>
                <w:highlight w:val="none"/>
                <w:lang w:val="en-US" w:eastAsia="zh-CN" w:bidi="ar-SA"/>
              </w:rPr>
              <w:t>车辆</w:t>
            </w:r>
            <w:r>
              <w:rPr>
                <w:rFonts w:hint="eastAsia" w:ascii="宋体" w:hAnsi="宋体" w:eastAsia="宋体" w:cs="宋体"/>
                <w:bCs/>
                <w:color w:val="auto"/>
                <w:kern w:val="0"/>
                <w:sz w:val="24"/>
                <w:szCs w:val="24"/>
                <w:highlight w:val="none"/>
                <w:lang w:val="en-US" w:eastAsia="zh-CN" w:bidi="ar-SA"/>
              </w:rPr>
              <w:t>生产厂家</w:t>
            </w:r>
            <w:r>
              <w:rPr>
                <w:rFonts w:hint="eastAsia" w:cs="宋体"/>
                <w:bCs/>
                <w:color w:val="auto"/>
                <w:kern w:val="0"/>
                <w:sz w:val="24"/>
                <w:szCs w:val="24"/>
                <w:highlight w:val="none"/>
                <w:lang w:val="en-US" w:eastAsia="zh-CN" w:bidi="ar-SA"/>
              </w:rPr>
              <w:t>）</w:t>
            </w:r>
            <w:r>
              <w:rPr>
                <w:rFonts w:hint="eastAsia" w:ascii="宋体" w:hAnsi="宋体" w:eastAsia="宋体" w:cs="宋体"/>
                <w:bCs/>
                <w:color w:val="auto"/>
                <w:kern w:val="0"/>
                <w:sz w:val="24"/>
                <w:szCs w:val="24"/>
                <w:highlight w:val="none"/>
                <w:lang w:val="en-US" w:eastAsia="zh-CN" w:bidi="ar-SA"/>
              </w:rPr>
              <w:t>通过两化融合管理体系认证并在有效期内的得</w:t>
            </w:r>
            <w:r>
              <w:rPr>
                <w:rFonts w:hint="eastAsia" w:cs="宋体"/>
                <w:bCs/>
                <w:color w:val="auto"/>
                <w:kern w:val="0"/>
                <w:sz w:val="24"/>
                <w:szCs w:val="24"/>
                <w:highlight w:val="none"/>
                <w:lang w:val="en-US" w:eastAsia="zh-CN" w:bidi="ar-SA"/>
              </w:rPr>
              <w:t>3</w:t>
            </w:r>
            <w:r>
              <w:rPr>
                <w:rFonts w:hint="eastAsia" w:ascii="宋体" w:hAnsi="宋体" w:eastAsia="宋体" w:cs="宋体"/>
                <w:bCs/>
                <w:color w:val="auto"/>
                <w:kern w:val="0"/>
                <w:sz w:val="24"/>
                <w:szCs w:val="24"/>
                <w:highlight w:val="none"/>
                <w:lang w:val="en-US" w:eastAsia="zh-CN" w:bidi="ar-SA"/>
              </w:rPr>
              <w:t>分。</w:t>
            </w:r>
          </w:p>
          <w:p w14:paraId="526564C3">
            <w:pPr>
              <w:widowControl/>
              <w:numPr>
                <w:ilvl w:val="0"/>
                <w:numId w:val="0"/>
              </w:numPr>
              <w:spacing w:line="360" w:lineRule="auto"/>
              <w:ind w:leftChars="0" w:right="0" w:rightChars="0"/>
              <w:jc w:val="left"/>
              <w:textAlignment w:val="center"/>
              <w:rPr>
                <w:rFonts w:hint="eastAsia" w:ascii="宋体" w:hAnsi="宋体" w:eastAsia="宋体" w:cs="宋体"/>
                <w:color w:val="auto"/>
                <w:kern w:val="0"/>
                <w:sz w:val="24"/>
                <w:szCs w:val="24"/>
                <w:highlight w:val="none"/>
                <w:lang w:val="en-US" w:eastAsia="en-US" w:bidi="ar-SA"/>
              </w:rPr>
            </w:pPr>
            <w:r>
              <w:rPr>
                <w:rFonts w:hint="eastAsia" w:ascii="宋体" w:hAnsi="宋体" w:eastAsia="宋体" w:cs="宋体"/>
                <w:bCs/>
                <w:color w:val="auto"/>
                <w:kern w:val="0"/>
                <w:sz w:val="24"/>
                <w:szCs w:val="24"/>
                <w:highlight w:val="none"/>
                <w:lang w:val="en-US" w:eastAsia="zh-CN" w:bidi="ar-SA"/>
              </w:rPr>
              <w:t>注：投标人须提供有效期内的证书及网站查询截图证明并加盖公章，未提供的不得分。</w:t>
            </w:r>
          </w:p>
        </w:tc>
      </w:tr>
      <w:tr w14:paraId="771A876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57"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18317D46">
            <w:pPr>
              <w:widowControl/>
              <w:wordWrap w:val="0"/>
              <w:spacing w:line="360" w:lineRule="auto"/>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2.</w:t>
            </w:r>
            <w:r>
              <w:rPr>
                <w:rFonts w:hint="eastAsia" w:ascii="宋体" w:hAnsi="宋体" w:eastAsia="宋体" w:cs="宋体"/>
                <w:color w:val="auto"/>
                <w:kern w:val="0"/>
                <w:sz w:val="24"/>
                <w:szCs w:val="24"/>
                <w:lang w:val="en-US" w:eastAsia="zh-CN" w:bidi="ar-SA"/>
              </w:rPr>
              <w:t>培训方案</w:t>
            </w:r>
          </w:p>
        </w:tc>
        <w:tc>
          <w:tcPr>
            <w:tcW w:w="73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2F344422">
            <w:pPr>
              <w:widowControl/>
              <w:wordWrap w:val="0"/>
              <w:spacing w:line="360" w:lineRule="auto"/>
              <w:ind w:left="0" w:leftChars="0" w:right="0" w:rightChars="0"/>
              <w:jc w:val="center"/>
              <w:rPr>
                <w:rFonts w:hint="eastAsia" w:ascii="宋体" w:hAnsi="宋体" w:eastAsia="宋体" w:cs="宋体"/>
                <w:color w:val="auto"/>
                <w:spacing w:val="-6"/>
                <w:sz w:val="24"/>
                <w:szCs w:val="24"/>
                <w:lang w:val="en-US" w:eastAsia="zh-CN" w:bidi="ar-SA"/>
              </w:rPr>
            </w:pPr>
            <w:r>
              <w:rPr>
                <w:rFonts w:hint="eastAsia" w:ascii="宋体" w:hAnsi="宋体" w:eastAsia="宋体" w:cs="宋体"/>
                <w:color w:val="auto"/>
                <w:spacing w:val="-6"/>
                <w:sz w:val="24"/>
                <w:szCs w:val="24"/>
                <w:lang w:val="en-US" w:eastAsia="zh-CN" w:bidi="ar-SA"/>
              </w:rPr>
              <w:t>3</w:t>
            </w:r>
          </w:p>
        </w:tc>
        <w:tc>
          <w:tcPr>
            <w:tcW w:w="817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57963CEE">
            <w:pPr>
              <w:pStyle w:val="26"/>
              <w:spacing w:line="360" w:lineRule="auto"/>
              <w:jc w:val="both"/>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rPr>
              <w:t>根据各投标人提供的</w:t>
            </w:r>
            <w:r>
              <w:rPr>
                <w:rFonts w:hint="eastAsia" w:ascii="宋体" w:hAnsi="宋体" w:eastAsia="宋体" w:cs="宋体"/>
                <w:b w:val="0"/>
                <w:bCs w:val="0"/>
                <w:color w:val="auto"/>
                <w:sz w:val="24"/>
                <w:szCs w:val="24"/>
                <w:highlight w:val="none"/>
                <w:lang w:val="en-US" w:eastAsia="zh-CN"/>
              </w:rPr>
              <w:t>培训方案</w:t>
            </w:r>
            <w:r>
              <w:rPr>
                <w:rFonts w:hint="eastAsia" w:ascii="宋体" w:hAnsi="宋体" w:eastAsia="宋体" w:cs="宋体"/>
                <w:b w:val="0"/>
                <w:bCs w:val="0"/>
                <w:color w:val="auto"/>
                <w:sz w:val="24"/>
                <w:szCs w:val="24"/>
                <w:highlight w:val="none"/>
              </w:rPr>
              <w:t>（包含但不限于：</w:t>
            </w:r>
            <w:r>
              <w:rPr>
                <w:rFonts w:hint="eastAsia" w:ascii="宋体" w:hAnsi="宋体" w:eastAsia="宋体" w:cs="宋体"/>
                <w:b w:val="0"/>
                <w:bCs w:val="0"/>
                <w:color w:val="auto"/>
                <w:sz w:val="24"/>
                <w:szCs w:val="24"/>
                <w:highlight w:val="none"/>
                <w:lang w:val="en-US" w:eastAsia="zh-CN"/>
              </w:rPr>
              <w:t>培训方式</w:t>
            </w:r>
            <w:r>
              <w:rPr>
                <w:rFonts w:hint="eastAsia" w:ascii="宋体" w:hAnsi="宋体" w:eastAsia="宋体" w:cs="宋体"/>
                <w:b w:val="0"/>
                <w:bCs w:val="0"/>
                <w:color w:val="auto"/>
                <w:sz w:val="24"/>
                <w:szCs w:val="24"/>
                <w:highlight w:val="none"/>
              </w:rPr>
              <w:t>、</w:t>
            </w:r>
            <w:r>
              <w:rPr>
                <w:rFonts w:hint="eastAsia" w:ascii="宋体" w:hAnsi="宋体" w:eastAsia="宋体" w:cs="宋体"/>
                <w:b w:val="0"/>
                <w:bCs w:val="0"/>
                <w:color w:val="auto"/>
                <w:sz w:val="24"/>
                <w:szCs w:val="24"/>
                <w:highlight w:val="none"/>
                <w:lang w:val="en-US" w:eastAsia="zh-CN"/>
              </w:rPr>
              <w:t>培训内容</w:t>
            </w:r>
            <w:r>
              <w:rPr>
                <w:rFonts w:hint="eastAsia" w:ascii="宋体" w:hAnsi="宋体" w:eastAsia="宋体" w:cs="宋体"/>
                <w:b w:val="0"/>
                <w:bCs w:val="0"/>
                <w:color w:val="auto"/>
                <w:sz w:val="24"/>
                <w:szCs w:val="24"/>
                <w:highlight w:val="none"/>
              </w:rPr>
              <w:t>）</w:t>
            </w:r>
            <w:r>
              <w:rPr>
                <w:rFonts w:hint="eastAsia" w:ascii="宋体" w:hAnsi="宋体" w:eastAsia="宋体" w:cs="宋体"/>
                <w:b w:val="0"/>
                <w:bCs w:val="0"/>
                <w:color w:val="auto"/>
                <w:sz w:val="24"/>
                <w:szCs w:val="24"/>
                <w:highlight w:val="none"/>
                <w:lang w:eastAsia="zh-CN"/>
              </w:rPr>
              <w:t>，由评委进行评分：①方案包含的要点齐全，提供的</w:t>
            </w:r>
            <w:r>
              <w:rPr>
                <w:rFonts w:hint="eastAsia" w:ascii="宋体" w:hAnsi="宋体" w:eastAsia="宋体" w:cs="宋体"/>
                <w:b w:val="0"/>
                <w:bCs w:val="0"/>
                <w:color w:val="auto"/>
                <w:sz w:val="24"/>
                <w:szCs w:val="24"/>
                <w:highlight w:val="none"/>
              </w:rPr>
              <w:t>方案</w:t>
            </w:r>
            <w:r>
              <w:rPr>
                <w:rFonts w:hint="eastAsia" w:ascii="宋体" w:hAnsi="宋体" w:eastAsia="宋体" w:cs="宋体"/>
                <w:b w:val="0"/>
                <w:bCs w:val="0"/>
                <w:color w:val="auto"/>
                <w:sz w:val="24"/>
                <w:szCs w:val="24"/>
                <w:highlight w:val="none"/>
                <w:lang w:eastAsia="zh-CN"/>
              </w:rPr>
              <w:t>内容详实完整、</w:t>
            </w:r>
            <w:r>
              <w:rPr>
                <w:rFonts w:hint="eastAsia" w:ascii="宋体" w:hAnsi="宋体" w:eastAsia="宋体" w:cs="宋体"/>
                <w:b w:val="0"/>
                <w:bCs w:val="0"/>
                <w:color w:val="auto"/>
                <w:sz w:val="24"/>
                <w:szCs w:val="24"/>
                <w:highlight w:val="none"/>
                <w:lang w:val="en-US" w:eastAsia="zh-CN"/>
              </w:rPr>
              <w:t>培训方式</w:t>
            </w:r>
            <w:r>
              <w:rPr>
                <w:rFonts w:hint="eastAsia" w:ascii="宋体" w:hAnsi="宋体" w:eastAsia="宋体" w:cs="宋体"/>
                <w:b w:val="0"/>
                <w:bCs w:val="0"/>
                <w:color w:val="auto"/>
                <w:sz w:val="24"/>
                <w:szCs w:val="24"/>
                <w:highlight w:val="none"/>
                <w:lang w:eastAsia="zh-CN"/>
              </w:rPr>
              <w:t>详细明确、</w:t>
            </w:r>
            <w:r>
              <w:rPr>
                <w:rFonts w:hint="eastAsia" w:ascii="宋体" w:hAnsi="宋体" w:eastAsia="宋体" w:cs="宋体"/>
                <w:b w:val="0"/>
                <w:bCs w:val="0"/>
                <w:color w:val="auto"/>
                <w:sz w:val="24"/>
                <w:szCs w:val="24"/>
                <w:highlight w:val="none"/>
                <w:lang w:val="en-US" w:eastAsia="zh-CN"/>
              </w:rPr>
              <w:t>培训内容</w:t>
            </w:r>
            <w:r>
              <w:rPr>
                <w:rFonts w:hint="eastAsia" w:ascii="宋体" w:hAnsi="宋体" w:eastAsia="宋体" w:cs="宋体"/>
                <w:b w:val="0"/>
                <w:bCs w:val="0"/>
                <w:color w:val="auto"/>
                <w:sz w:val="24"/>
                <w:szCs w:val="24"/>
                <w:highlight w:val="none"/>
                <w:lang w:eastAsia="zh-CN"/>
              </w:rPr>
              <w:t>全面，符合项目实际的得</w:t>
            </w:r>
            <w:r>
              <w:rPr>
                <w:rFonts w:hint="eastAsia" w:ascii="宋体" w:hAnsi="宋体" w:eastAsia="宋体" w:cs="宋体"/>
                <w:b w:val="0"/>
                <w:bCs w:val="0"/>
                <w:color w:val="auto"/>
                <w:sz w:val="24"/>
                <w:szCs w:val="24"/>
                <w:highlight w:val="none"/>
                <w:lang w:val="en-US" w:eastAsia="zh-CN"/>
              </w:rPr>
              <w:t>3</w:t>
            </w:r>
            <w:r>
              <w:rPr>
                <w:rFonts w:hint="eastAsia" w:ascii="宋体" w:hAnsi="宋体" w:eastAsia="宋体" w:cs="宋体"/>
                <w:b w:val="0"/>
                <w:bCs w:val="0"/>
                <w:color w:val="auto"/>
                <w:sz w:val="24"/>
                <w:szCs w:val="24"/>
                <w:highlight w:val="none"/>
                <w:lang w:eastAsia="zh-CN"/>
              </w:rPr>
              <w:t>分；</w:t>
            </w:r>
          </w:p>
          <w:p w14:paraId="489504EB">
            <w:pPr>
              <w:pStyle w:val="26"/>
              <w:spacing w:line="360" w:lineRule="auto"/>
              <w:jc w:val="both"/>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lang w:eastAsia="zh-CN"/>
              </w:rPr>
              <w:t>②方案所包含的要点齐全，提供的</w:t>
            </w:r>
            <w:r>
              <w:rPr>
                <w:rFonts w:hint="eastAsia" w:ascii="宋体" w:hAnsi="宋体" w:eastAsia="宋体" w:cs="宋体"/>
                <w:b w:val="0"/>
                <w:bCs w:val="0"/>
                <w:color w:val="auto"/>
                <w:sz w:val="24"/>
                <w:szCs w:val="24"/>
                <w:highlight w:val="none"/>
              </w:rPr>
              <w:t>方案</w:t>
            </w:r>
            <w:r>
              <w:rPr>
                <w:rFonts w:hint="eastAsia" w:ascii="宋体" w:hAnsi="宋体" w:eastAsia="宋体" w:cs="宋体"/>
                <w:b w:val="0"/>
                <w:bCs w:val="0"/>
                <w:color w:val="auto"/>
                <w:sz w:val="24"/>
                <w:szCs w:val="24"/>
                <w:highlight w:val="none"/>
                <w:lang w:eastAsia="zh-CN"/>
              </w:rPr>
              <w:t>内容较详实、</w:t>
            </w:r>
            <w:r>
              <w:rPr>
                <w:rFonts w:hint="eastAsia" w:ascii="宋体" w:hAnsi="宋体" w:eastAsia="宋体" w:cs="宋体"/>
                <w:b w:val="0"/>
                <w:bCs w:val="0"/>
                <w:color w:val="auto"/>
                <w:sz w:val="24"/>
                <w:szCs w:val="24"/>
                <w:highlight w:val="none"/>
                <w:lang w:val="en-US" w:eastAsia="zh-CN"/>
              </w:rPr>
              <w:t>培训方式</w:t>
            </w:r>
            <w:r>
              <w:rPr>
                <w:rFonts w:hint="eastAsia" w:ascii="宋体" w:hAnsi="宋体" w:eastAsia="宋体" w:cs="宋体"/>
                <w:b w:val="0"/>
                <w:bCs w:val="0"/>
                <w:color w:val="auto"/>
                <w:sz w:val="24"/>
                <w:szCs w:val="24"/>
                <w:highlight w:val="none"/>
                <w:lang w:eastAsia="zh-CN"/>
              </w:rPr>
              <w:t>较详细明确、</w:t>
            </w:r>
            <w:r>
              <w:rPr>
                <w:rFonts w:hint="eastAsia" w:ascii="宋体" w:hAnsi="宋体" w:eastAsia="宋体" w:cs="宋体"/>
                <w:b w:val="0"/>
                <w:bCs w:val="0"/>
                <w:color w:val="auto"/>
                <w:sz w:val="24"/>
                <w:szCs w:val="24"/>
                <w:highlight w:val="none"/>
                <w:lang w:val="en-US" w:eastAsia="zh-CN"/>
              </w:rPr>
              <w:t>培训内容</w:t>
            </w:r>
            <w:r>
              <w:rPr>
                <w:rFonts w:hint="eastAsia" w:ascii="宋体" w:hAnsi="宋体" w:eastAsia="宋体" w:cs="宋体"/>
                <w:b w:val="0"/>
                <w:bCs w:val="0"/>
                <w:color w:val="auto"/>
                <w:sz w:val="24"/>
                <w:szCs w:val="24"/>
                <w:highlight w:val="none"/>
                <w:lang w:eastAsia="zh-CN"/>
              </w:rPr>
              <w:t>较全面，较符合项目实际的得</w:t>
            </w:r>
            <w:r>
              <w:rPr>
                <w:rFonts w:hint="eastAsia" w:ascii="宋体" w:hAnsi="宋体" w:eastAsia="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lang w:eastAsia="zh-CN"/>
              </w:rPr>
              <w:t>分；</w:t>
            </w:r>
          </w:p>
          <w:p w14:paraId="3038535B">
            <w:pPr>
              <w:pStyle w:val="26"/>
              <w:spacing w:line="360" w:lineRule="auto"/>
              <w:jc w:val="both"/>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lang w:eastAsia="zh-CN"/>
              </w:rPr>
              <w:t>③方案所包含的要点齐全，提供的</w:t>
            </w:r>
            <w:r>
              <w:rPr>
                <w:rFonts w:hint="eastAsia" w:ascii="宋体" w:hAnsi="宋体" w:eastAsia="宋体" w:cs="宋体"/>
                <w:b w:val="0"/>
                <w:bCs w:val="0"/>
                <w:color w:val="auto"/>
                <w:sz w:val="24"/>
                <w:szCs w:val="24"/>
                <w:highlight w:val="none"/>
              </w:rPr>
              <w:t>方案</w:t>
            </w:r>
            <w:r>
              <w:rPr>
                <w:rFonts w:hint="eastAsia" w:ascii="宋体" w:hAnsi="宋体" w:eastAsia="宋体" w:cs="宋体"/>
                <w:b w:val="0"/>
                <w:bCs w:val="0"/>
                <w:color w:val="auto"/>
                <w:sz w:val="24"/>
                <w:szCs w:val="24"/>
                <w:highlight w:val="none"/>
                <w:lang w:eastAsia="zh-CN"/>
              </w:rPr>
              <w:t>内容基本完整、</w:t>
            </w:r>
            <w:r>
              <w:rPr>
                <w:rFonts w:hint="eastAsia" w:ascii="宋体" w:hAnsi="宋体" w:eastAsia="宋体" w:cs="宋体"/>
                <w:b w:val="0"/>
                <w:bCs w:val="0"/>
                <w:color w:val="auto"/>
                <w:sz w:val="24"/>
                <w:szCs w:val="24"/>
                <w:highlight w:val="none"/>
                <w:lang w:val="en-US" w:eastAsia="zh-CN"/>
              </w:rPr>
              <w:t>培训方式</w:t>
            </w:r>
            <w:r>
              <w:rPr>
                <w:rFonts w:hint="eastAsia" w:ascii="宋体" w:hAnsi="宋体" w:eastAsia="宋体" w:cs="宋体"/>
                <w:b w:val="0"/>
                <w:bCs w:val="0"/>
                <w:color w:val="auto"/>
                <w:sz w:val="24"/>
                <w:szCs w:val="24"/>
                <w:highlight w:val="none"/>
                <w:lang w:eastAsia="zh-CN"/>
              </w:rPr>
              <w:t>基本详细明确、</w:t>
            </w:r>
            <w:r>
              <w:rPr>
                <w:rFonts w:hint="eastAsia" w:ascii="宋体" w:hAnsi="宋体" w:eastAsia="宋体" w:cs="宋体"/>
                <w:b w:val="0"/>
                <w:bCs w:val="0"/>
                <w:color w:val="auto"/>
                <w:sz w:val="24"/>
                <w:szCs w:val="24"/>
                <w:highlight w:val="none"/>
                <w:lang w:val="en-US" w:eastAsia="zh-CN"/>
              </w:rPr>
              <w:t>培训内容</w:t>
            </w:r>
            <w:r>
              <w:rPr>
                <w:rFonts w:hint="eastAsia" w:ascii="宋体" w:hAnsi="宋体" w:eastAsia="宋体" w:cs="宋体"/>
                <w:b w:val="0"/>
                <w:bCs w:val="0"/>
                <w:color w:val="auto"/>
                <w:sz w:val="24"/>
                <w:szCs w:val="24"/>
                <w:highlight w:val="none"/>
                <w:lang w:eastAsia="zh-CN"/>
              </w:rPr>
              <w:t>基本全面，基本符合项目实际的得</w:t>
            </w:r>
            <w:r>
              <w:rPr>
                <w:rFonts w:hint="eastAsia" w:ascii="宋体" w:hAnsi="宋体" w:eastAsia="宋体" w:cs="宋体"/>
                <w:b w:val="0"/>
                <w:bCs w:val="0"/>
                <w:color w:val="auto"/>
                <w:sz w:val="24"/>
                <w:szCs w:val="24"/>
                <w:highlight w:val="none"/>
                <w:lang w:val="en-US" w:eastAsia="zh-CN"/>
              </w:rPr>
              <w:t>1.5</w:t>
            </w:r>
            <w:r>
              <w:rPr>
                <w:rFonts w:hint="eastAsia" w:ascii="宋体" w:hAnsi="宋体" w:eastAsia="宋体" w:cs="宋体"/>
                <w:b w:val="0"/>
                <w:bCs w:val="0"/>
                <w:color w:val="auto"/>
                <w:sz w:val="24"/>
                <w:szCs w:val="24"/>
                <w:highlight w:val="none"/>
                <w:lang w:eastAsia="zh-CN"/>
              </w:rPr>
              <w:t>分。</w:t>
            </w:r>
          </w:p>
          <w:p w14:paraId="7388ADF7">
            <w:pPr>
              <w:pStyle w:val="26"/>
              <w:spacing w:line="360" w:lineRule="auto"/>
              <w:jc w:val="both"/>
              <w:rPr>
                <w:rFonts w:hint="eastAsia" w:ascii="宋体" w:hAnsi="宋体" w:eastAsia="宋体" w:cs="宋体"/>
                <w:color w:val="auto"/>
                <w:sz w:val="24"/>
                <w:szCs w:val="24"/>
                <w:highlight w:val="none"/>
              </w:rPr>
            </w:pPr>
            <w:r>
              <w:rPr>
                <w:rFonts w:hint="eastAsia" w:ascii="宋体" w:hAnsi="宋体" w:eastAsia="宋体" w:cs="宋体"/>
                <w:b w:val="0"/>
                <w:bCs w:val="0"/>
                <w:color w:val="auto"/>
                <w:sz w:val="24"/>
                <w:szCs w:val="24"/>
                <w:highlight w:val="none"/>
                <w:lang w:eastAsia="zh-CN"/>
              </w:rPr>
              <w:t>④方案所包含的要点有缺漏或未提供的不得分。</w:t>
            </w:r>
          </w:p>
        </w:tc>
      </w:tr>
      <w:tr w14:paraId="00046C4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57"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22F1AFEB">
            <w:pPr>
              <w:widowControl/>
              <w:wordWrap w:val="0"/>
              <w:spacing w:line="360" w:lineRule="auto"/>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3.</w:t>
            </w:r>
            <w:r>
              <w:rPr>
                <w:rFonts w:hint="eastAsia" w:ascii="宋体" w:hAnsi="宋体" w:eastAsia="宋体" w:cs="宋体"/>
                <w:color w:val="auto"/>
                <w:sz w:val="24"/>
                <w:szCs w:val="24"/>
                <w:lang w:eastAsia="zh-CN"/>
              </w:rPr>
              <w:t>售后服务方案</w:t>
            </w:r>
          </w:p>
        </w:tc>
        <w:tc>
          <w:tcPr>
            <w:tcW w:w="73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7D315EC4">
            <w:pPr>
              <w:widowControl/>
              <w:wordWrap w:val="0"/>
              <w:spacing w:line="360" w:lineRule="auto"/>
              <w:ind w:left="0" w:leftChars="0" w:right="0" w:rightChars="0"/>
              <w:jc w:val="center"/>
              <w:rPr>
                <w:rFonts w:hint="eastAsia" w:ascii="宋体" w:hAnsi="宋体" w:eastAsia="宋体" w:cs="宋体"/>
                <w:color w:val="auto"/>
                <w:spacing w:val="-6"/>
                <w:sz w:val="24"/>
                <w:szCs w:val="24"/>
                <w:lang w:val="en-US" w:eastAsia="zh-CN" w:bidi="ar-SA"/>
              </w:rPr>
            </w:pPr>
            <w:r>
              <w:rPr>
                <w:rFonts w:hint="eastAsia" w:ascii="宋体" w:hAnsi="宋体" w:eastAsia="宋体" w:cs="宋体"/>
                <w:color w:val="auto"/>
                <w:spacing w:val="-6"/>
                <w:sz w:val="24"/>
                <w:szCs w:val="24"/>
                <w:lang w:val="en-US" w:eastAsia="zh-CN" w:bidi="ar-SA"/>
              </w:rPr>
              <w:t>3</w:t>
            </w:r>
          </w:p>
        </w:tc>
        <w:tc>
          <w:tcPr>
            <w:tcW w:w="817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0B819BF5">
            <w:pPr>
              <w:pStyle w:val="26"/>
              <w:spacing w:line="360" w:lineRule="auto"/>
              <w:jc w:val="both"/>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rPr>
              <w:t>根据各投标人提供的</w:t>
            </w:r>
            <w:r>
              <w:rPr>
                <w:rFonts w:hint="eastAsia" w:ascii="宋体" w:hAnsi="宋体" w:eastAsia="宋体" w:cs="宋体"/>
                <w:b w:val="0"/>
                <w:bCs w:val="0"/>
                <w:color w:val="auto"/>
                <w:sz w:val="24"/>
                <w:szCs w:val="24"/>
                <w:lang w:eastAsia="zh-CN"/>
              </w:rPr>
              <w:t>售后服务方案</w:t>
            </w:r>
            <w:r>
              <w:rPr>
                <w:rFonts w:hint="eastAsia" w:ascii="宋体" w:hAnsi="宋体" w:eastAsia="宋体" w:cs="宋体"/>
                <w:b w:val="0"/>
                <w:bCs w:val="0"/>
                <w:color w:val="auto"/>
                <w:sz w:val="24"/>
                <w:szCs w:val="24"/>
              </w:rPr>
              <w:t>（包含但不限于：</w:t>
            </w:r>
            <w:r>
              <w:rPr>
                <w:rFonts w:hint="eastAsia" w:ascii="宋体" w:hAnsi="宋体" w:eastAsia="宋体" w:cs="宋体"/>
                <w:b w:val="0"/>
                <w:bCs w:val="0"/>
                <w:color w:val="auto"/>
                <w:sz w:val="24"/>
                <w:szCs w:val="24"/>
                <w:lang w:eastAsia="zh-CN"/>
              </w:rPr>
              <w:t>服务措施</w:t>
            </w:r>
            <w:r>
              <w:rPr>
                <w:rFonts w:hint="eastAsia" w:ascii="宋体" w:hAnsi="宋体" w:eastAsia="宋体" w:cs="宋体"/>
                <w:b w:val="0"/>
                <w:bCs w:val="0"/>
                <w:color w:val="auto"/>
                <w:sz w:val="24"/>
                <w:szCs w:val="24"/>
              </w:rPr>
              <w:t>、</w:t>
            </w:r>
            <w:r>
              <w:rPr>
                <w:rFonts w:hint="eastAsia" w:ascii="宋体" w:hAnsi="宋体" w:eastAsia="宋体" w:cs="宋体"/>
                <w:b w:val="0"/>
                <w:bCs w:val="0"/>
                <w:color w:val="auto"/>
                <w:sz w:val="24"/>
                <w:szCs w:val="24"/>
                <w:lang w:eastAsia="zh-CN"/>
              </w:rPr>
              <w:t>零配件供应措施</w:t>
            </w:r>
            <w:r>
              <w:rPr>
                <w:rFonts w:hint="eastAsia" w:ascii="宋体" w:hAnsi="宋体" w:eastAsia="宋体" w:cs="宋体"/>
                <w:b w:val="0"/>
                <w:bCs w:val="0"/>
                <w:color w:val="auto"/>
                <w:sz w:val="24"/>
                <w:szCs w:val="24"/>
              </w:rPr>
              <w:t>）</w:t>
            </w:r>
            <w:r>
              <w:rPr>
                <w:rFonts w:hint="eastAsia" w:ascii="宋体" w:hAnsi="宋体" w:eastAsia="宋体" w:cs="宋体"/>
                <w:b w:val="0"/>
                <w:bCs w:val="0"/>
                <w:color w:val="auto"/>
                <w:sz w:val="24"/>
                <w:szCs w:val="24"/>
                <w:lang w:eastAsia="zh-CN"/>
              </w:rPr>
              <w:t>，由评委进行评分：</w:t>
            </w:r>
          </w:p>
          <w:p w14:paraId="6422B9FC">
            <w:pPr>
              <w:pStyle w:val="26"/>
              <w:spacing w:line="360" w:lineRule="auto"/>
              <w:jc w:val="both"/>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lang w:eastAsia="zh-CN"/>
              </w:rPr>
              <w:t>①方案包含的要点齐全，提供的</w:t>
            </w:r>
            <w:r>
              <w:rPr>
                <w:rFonts w:hint="eastAsia" w:ascii="宋体" w:hAnsi="宋体" w:eastAsia="宋体" w:cs="宋体"/>
                <w:b w:val="0"/>
                <w:bCs w:val="0"/>
                <w:color w:val="auto"/>
                <w:sz w:val="24"/>
                <w:szCs w:val="24"/>
              </w:rPr>
              <w:t>方案</w:t>
            </w:r>
            <w:r>
              <w:rPr>
                <w:rFonts w:hint="eastAsia" w:ascii="宋体" w:hAnsi="宋体" w:eastAsia="宋体" w:cs="宋体"/>
                <w:b w:val="0"/>
                <w:bCs w:val="0"/>
                <w:color w:val="auto"/>
                <w:sz w:val="24"/>
                <w:szCs w:val="24"/>
                <w:lang w:eastAsia="zh-CN"/>
              </w:rPr>
              <w:t>内容详实</w:t>
            </w:r>
            <w:r>
              <w:rPr>
                <w:rFonts w:hint="eastAsia" w:ascii="宋体" w:hAnsi="宋体" w:eastAsia="宋体" w:cs="宋体"/>
                <w:b w:val="0"/>
                <w:bCs w:val="0"/>
                <w:color w:val="auto"/>
                <w:sz w:val="24"/>
                <w:szCs w:val="24"/>
                <w:highlight w:val="none"/>
                <w:lang w:eastAsia="zh-CN"/>
              </w:rPr>
              <w:t>完整、服务措施详细明确、零配件供应措施全面，符合项目实际的得</w:t>
            </w:r>
            <w:r>
              <w:rPr>
                <w:rFonts w:hint="eastAsia" w:ascii="宋体" w:hAnsi="宋体" w:eastAsia="宋体" w:cs="宋体"/>
                <w:b w:val="0"/>
                <w:bCs w:val="0"/>
                <w:color w:val="auto"/>
                <w:sz w:val="24"/>
                <w:szCs w:val="24"/>
                <w:highlight w:val="none"/>
                <w:lang w:val="en-US" w:eastAsia="zh-CN"/>
              </w:rPr>
              <w:t>3</w:t>
            </w:r>
            <w:r>
              <w:rPr>
                <w:rFonts w:hint="eastAsia" w:ascii="宋体" w:hAnsi="宋体" w:eastAsia="宋体" w:cs="宋体"/>
                <w:b w:val="0"/>
                <w:bCs w:val="0"/>
                <w:color w:val="auto"/>
                <w:sz w:val="24"/>
                <w:szCs w:val="24"/>
                <w:highlight w:val="none"/>
                <w:lang w:eastAsia="zh-CN"/>
              </w:rPr>
              <w:t>分；</w:t>
            </w:r>
          </w:p>
          <w:p w14:paraId="7E43815D">
            <w:pPr>
              <w:pStyle w:val="26"/>
              <w:spacing w:line="360" w:lineRule="auto"/>
              <w:jc w:val="both"/>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②方案所包含的要点齐全，提供的</w:t>
            </w:r>
            <w:r>
              <w:rPr>
                <w:rFonts w:hint="eastAsia" w:ascii="宋体" w:hAnsi="宋体" w:eastAsia="宋体" w:cs="宋体"/>
                <w:b w:val="0"/>
                <w:bCs w:val="0"/>
                <w:color w:val="auto"/>
                <w:sz w:val="24"/>
                <w:szCs w:val="24"/>
              </w:rPr>
              <w:t>方案</w:t>
            </w:r>
            <w:r>
              <w:rPr>
                <w:rFonts w:hint="eastAsia" w:ascii="宋体" w:hAnsi="宋体" w:eastAsia="宋体" w:cs="宋体"/>
                <w:b w:val="0"/>
                <w:bCs w:val="0"/>
                <w:color w:val="auto"/>
                <w:sz w:val="24"/>
                <w:szCs w:val="24"/>
                <w:lang w:eastAsia="zh-CN"/>
              </w:rPr>
              <w:t>内容较详实、服务措施较详细明确、零配件供应措施较全面，较符合项目实际的得</w:t>
            </w:r>
            <w:r>
              <w:rPr>
                <w:rFonts w:hint="eastAsia" w:ascii="宋体" w:hAnsi="宋体" w:eastAsia="宋体" w:cs="宋体"/>
                <w:b w:val="0"/>
                <w:bCs w:val="0"/>
                <w:color w:val="auto"/>
                <w:sz w:val="24"/>
                <w:szCs w:val="24"/>
                <w:lang w:val="en-US" w:eastAsia="zh-CN"/>
              </w:rPr>
              <w:t>2</w:t>
            </w:r>
            <w:r>
              <w:rPr>
                <w:rFonts w:hint="eastAsia" w:ascii="宋体" w:hAnsi="宋体" w:eastAsia="宋体" w:cs="宋体"/>
                <w:b w:val="0"/>
                <w:bCs w:val="0"/>
                <w:color w:val="auto"/>
                <w:sz w:val="24"/>
                <w:szCs w:val="24"/>
                <w:lang w:eastAsia="zh-CN"/>
              </w:rPr>
              <w:t>分；</w:t>
            </w:r>
          </w:p>
          <w:p w14:paraId="5D8BDC38">
            <w:pPr>
              <w:pStyle w:val="26"/>
              <w:spacing w:line="360" w:lineRule="auto"/>
              <w:jc w:val="both"/>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lang w:eastAsia="zh-CN"/>
              </w:rPr>
              <w:t>③方案所包含的要点齐全，提供的</w:t>
            </w:r>
            <w:r>
              <w:rPr>
                <w:rFonts w:hint="eastAsia" w:ascii="宋体" w:hAnsi="宋体" w:eastAsia="宋体" w:cs="宋体"/>
                <w:b w:val="0"/>
                <w:bCs w:val="0"/>
                <w:color w:val="auto"/>
                <w:sz w:val="24"/>
                <w:szCs w:val="24"/>
              </w:rPr>
              <w:t>方案</w:t>
            </w:r>
            <w:r>
              <w:rPr>
                <w:rFonts w:hint="eastAsia" w:ascii="宋体" w:hAnsi="宋体" w:eastAsia="宋体" w:cs="宋体"/>
                <w:b w:val="0"/>
                <w:bCs w:val="0"/>
                <w:color w:val="auto"/>
                <w:sz w:val="24"/>
                <w:szCs w:val="24"/>
                <w:lang w:eastAsia="zh-CN"/>
              </w:rPr>
              <w:t>内容基本完整、服务措施基本详细明确、零配件供应措施基本全面，基本符合项目实际的得</w:t>
            </w:r>
            <w:r>
              <w:rPr>
                <w:rFonts w:hint="eastAsia" w:ascii="宋体" w:hAnsi="宋体" w:eastAsia="宋体" w:cs="宋体"/>
                <w:b w:val="0"/>
                <w:bCs w:val="0"/>
                <w:color w:val="auto"/>
                <w:sz w:val="24"/>
                <w:szCs w:val="24"/>
                <w:lang w:val="en-US" w:eastAsia="zh-CN"/>
              </w:rPr>
              <w:t>1.5</w:t>
            </w:r>
            <w:r>
              <w:rPr>
                <w:rFonts w:hint="eastAsia" w:ascii="宋体" w:hAnsi="宋体" w:eastAsia="宋体" w:cs="宋体"/>
                <w:b w:val="0"/>
                <w:bCs w:val="0"/>
                <w:color w:val="auto"/>
                <w:sz w:val="24"/>
                <w:szCs w:val="24"/>
                <w:lang w:eastAsia="zh-CN"/>
              </w:rPr>
              <w:t>分。</w:t>
            </w:r>
          </w:p>
          <w:p w14:paraId="1DE81DA7">
            <w:pPr>
              <w:pStyle w:val="26"/>
              <w:spacing w:line="360" w:lineRule="auto"/>
              <w:jc w:val="both"/>
              <w:rPr>
                <w:rFonts w:hint="eastAsia" w:ascii="宋体" w:hAnsi="宋体" w:eastAsia="宋体" w:cs="宋体"/>
                <w:color w:val="auto"/>
                <w:sz w:val="24"/>
                <w:szCs w:val="24"/>
              </w:rPr>
            </w:pPr>
            <w:r>
              <w:rPr>
                <w:rFonts w:hint="eastAsia" w:ascii="宋体" w:hAnsi="宋体" w:eastAsia="宋体" w:cs="宋体"/>
                <w:b w:val="0"/>
                <w:bCs w:val="0"/>
                <w:color w:val="auto"/>
                <w:sz w:val="24"/>
                <w:szCs w:val="24"/>
                <w:lang w:eastAsia="zh-CN"/>
              </w:rPr>
              <w:t>④方案所包含的要点有缺漏或未提供的不得分。</w:t>
            </w:r>
          </w:p>
        </w:tc>
      </w:tr>
    </w:tbl>
    <w:p w14:paraId="4CB50E99">
      <w:pPr>
        <w:pStyle w:val="26"/>
        <w:spacing w:line="360" w:lineRule="auto"/>
        <w:jc w:val="both"/>
        <w:rPr>
          <w:rFonts w:hint="eastAsia" w:ascii="宋体" w:hAnsi="宋体" w:eastAsia="宋体" w:cs="宋体"/>
          <w:color w:val="auto"/>
          <w:sz w:val="24"/>
          <w:szCs w:val="24"/>
        </w:rPr>
      </w:pPr>
      <w:r>
        <w:rPr>
          <w:rFonts w:hint="eastAsia" w:ascii="宋体" w:hAnsi="宋体" w:eastAsia="宋体" w:cs="宋体"/>
          <w:color w:val="auto"/>
          <w:sz w:val="24"/>
          <w:szCs w:val="24"/>
        </w:rPr>
        <w:t>加分项（F4×A4）</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13"/>
        <w:gridCol w:w="1176"/>
        <w:gridCol w:w="8157"/>
      </w:tblGrid>
      <w:tr w14:paraId="7739F0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14" w:type="dxa"/>
          </w:tcPr>
          <w:p w14:paraId="639A6A42">
            <w:pPr>
              <w:pStyle w:val="26"/>
              <w:spacing w:line="360" w:lineRule="auto"/>
              <w:jc w:val="both"/>
              <w:rPr>
                <w:rFonts w:hint="eastAsia" w:ascii="宋体" w:hAnsi="宋体" w:eastAsia="宋体" w:cs="宋体"/>
                <w:color w:val="auto"/>
                <w:sz w:val="24"/>
                <w:szCs w:val="24"/>
              </w:rPr>
            </w:pPr>
            <w:r>
              <w:rPr>
                <w:rFonts w:hint="eastAsia" w:ascii="宋体" w:hAnsi="宋体" w:eastAsia="宋体" w:cs="宋体"/>
                <w:color w:val="auto"/>
                <w:sz w:val="24"/>
                <w:szCs w:val="24"/>
              </w:rPr>
              <w:t>项目</w:t>
            </w:r>
          </w:p>
        </w:tc>
        <w:tc>
          <w:tcPr>
            <w:tcW w:w="660" w:type="dxa"/>
          </w:tcPr>
          <w:p w14:paraId="4112FCAB">
            <w:pPr>
              <w:pStyle w:val="26"/>
              <w:spacing w:line="360" w:lineRule="auto"/>
              <w:jc w:val="both"/>
              <w:rPr>
                <w:rFonts w:hint="eastAsia" w:ascii="宋体" w:hAnsi="宋体" w:eastAsia="宋体" w:cs="宋体"/>
                <w:color w:val="auto"/>
                <w:sz w:val="24"/>
                <w:szCs w:val="24"/>
              </w:rPr>
            </w:pPr>
            <w:r>
              <w:rPr>
                <w:rFonts w:hint="eastAsia" w:ascii="宋体" w:hAnsi="宋体" w:eastAsia="宋体" w:cs="宋体"/>
                <w:color w:val="auto"/>
                <w:sz w:val="24"/>
                <w:szCs w:val="24"/>
              </w:rPr>
              <w:t>分值</w:t>
            </w:r>
          </w:p>
        </w:tc>
        <w:tc>
          <w:tcPr>
            <w:tcW w:w="8666" w:type="dxa"/>
          </w:tcPr>
          <w:p w14:paraId="56A6B1D6">
            <w:pPr>
              <w:pStyle w:val="26"/>
              <w:spacing w:line="360" w:lineRule="auto"/>
              <w:jc w:val="both"/>
              <w:rPr>
                <w:rFonts w:hint="eastAsia" w:ascii="宋体" w:hAnsi="宋体" w:eastAsia="宋体" w:cs="宋体"/>
                <w:color w:val="auto"/>
                <w:sz w:val="24"/>
                <w:szCs w:val="24"/>
              </w:rPr>
            </w:pPr>
            <w:r>
              <w:rPr>
                <w:rFonts w:hint="eastAsia" w:ascii="宋体" w:hAnsi="宋体" w:eastAsia="宋体" w:cs="宋体"/>
                <w:color w:val="auto"/>
                <w:sz w:val="24"/>
                <w:szCs w:val="24"/>
              </w:rPr>
              <w:t xml:space="preserve"> 描述</w:t>
            </w:r>
          </w:p>
        </w:tc>
      </w:tr>
      <w:tr w14:paraId="11A4A7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14" w:type="dxa"/>
            <w:vAlign w:val="top"/>
          </w:tcPr>
          <w:p w14:paraId="4DE8157D">
            <w:pPr>
              <w:pStyle w:val="26"/>
              <w:spacing w:line="360" w:lineRule="auto"/>
              <w:jc w:val="left"/>
              <w:rPr>
                <w:rFonts w:hint="eastAsia" w:ascii="宋体" w:hAnsi="宋体" w:eastAsia="宋体" w:cs="宋体"/>
                <w:color w:val="auto"/>
                <w:sz w:val="24"/>
                <w:szCs w:val="24"/>
              </w:rPr>
            </w:pPr>
            <w:r>
              <w:rPr>
                <w:rFonts w:hint="eastAsia" w:ascii="宋体" w:hAnsi="宋体" w:eastAsia="宋体" w:cs="宋体"/>
                <w:color w:val="auto"/>
                <w:sz w:val="24"/>
                <w:szCs w:val="24"/>
              </w:rPr>
              <w:t>节能、环境标志产品</w:t>
            </w:r>
          </w:p>
        </w:tc>
        <w:tc>
          <w:tcPr>
            <w:tcW w:w="660" w:type="dxa"/>
            <w:vAlign w:val="top"/>
          </w:tcPr>
          <w:p w14:paraId="4F3C7CD7">
            <w:pPr>
              <w:pStyle w:val="26"/>
              <w:spacing w:line="360" w:lineRule="auto"/>
              <w:jc w:val="right"/>
              <w:rPr>
                <w:rFonts w:hint="eastAsia" w:ascii="宋体" w:hAnsi="宋体" w:eastAsia="宋体" w:cs="宋体"/>
                <w:color w:val="auto"/>
                <w:sz w:val="24"/>
                <w:szCs w:val="24"/>
              </w:rPr>
            </w:pPr>
            <w:r>
              <w:rPr>
                <w:rFonts w:hint="eastAsia" w:ascii="宋体" w:hAnsi="宋体" w:eastAsia="宋体" w:cs="宋体"/>
                <w:color w:val="auto"/>
                <w:sz w:val="24"/>
                <w:szCs w:val="24"/>
              </w:rPr>
              <w:t>10.0000%</w:t>
            </w:r>
          </w:p>
        </w:tc>
        <w:tc>
          <w:tcPr>
            <w:tcW w:w="8666" w:type="dxa"/>
            <w:vAlign w:val="top"/>
          </w:tcPr>
          <w:p w14:paraId="47F899D1">
            <w:pPr>
              <w:pStyle w:val="26"/>
              <w:spacing w:line="360" w:lineRule="auto"/>
              <w:jc w:val="left"/>
              <w:rPr>
                <w:rFonts w:hint="eastAsia" w:ascii="宋体" w:hAnsi="宋体" w:eastAsia="宋体" w:cs="宋体"/>
                <w:color w:val="auto"/>
                <w:sz w:val="24"/>
                <w:szCs w:val="24"/>
              </w:rPr>
            </w:pPr>
            <w:r>
              <w:rPr>
                <w:rFonts w:hint="eastAsia" w:ascii="宋体" w:hAnsi="宋体" w:eastAsia="宋体" w:cs="宋体"/>
                <w:color w:val="auto"/>
                <w:sz w:val="24"/>
                <w:szCs w:val="24"/>
              </w:rPr>
              <w:t>根据《福建省财政厅关于加强政府绿色采购工作的通知》(闽财规(20243号)文件，本采购包给予节能、环境标志产品每个单项报价10%的价格扣除。注:①节能产品是指财政部、发展改革委最新公布的《节能产品政府采购品目清单》内且获得国家确定的认证机构出具的、处于有效期之内的产品认证证书的产品;环境标志产品是指生态环境部和财政部最新公布的《环境标志产品政府采购品目清单》内且获得国家确定的认证机构出具的、处于有效期之内的产品认证证书的产品;②同一采购包内的节能、环境标志产品部分价格扣除只对属于清单内的非强制类产品进行价格扣除，强制类产品不给予价格扣除。③若同一采购包内的节能、环境标志产品仅是构成报价产品的部件、组件或零件的，则不给予价格扣除。获得上述认证的产品在报价时应提供有效证明材料)。同一品目中各认证证书不重复计算价格扣除。属于政府强制采购的节能产品不享受价格扣除。④投标人在报价时必须对节能(非强制类产品)、环境标志产品单独分项报价，并于投标文件中提供属于节能(非强制类产品)、环境标志产品的证明资料(国家确定的认证机构出具的、处于有效期之内的产品认证证书复印件)。</w:t>
            </w:r>
          </w:p>
        </w:tc>
      </w:tr>
    </w:tbl>
    <w:p w14:paraId="68B55DC1">
      <w:pPr>
        <w:pStyle w:val="6"/>
        <w:spacing w:before="96"/>
        <w:ind w:left="0" w:leftChars="0" w:firstLine="0" w:firstLineChars="0"/>
        <w:rPr>
          <w:rFonts w:hint="eastAsia" w:asciiTheme="minorEastAsia" w:hAnsiTheme="minorEastAsia" w:eastAsiaTheme="minorEastAsia" w:cstheme="minorEastAsia"/>
          <w:color w:val="auto"/>
        </w:rPr>
      </w:pPr>
    </w:p>
    <w:p w14:paraId="736F1FA7">
      <w:pPr>
        <w:pStyle w:val="6"/>
        <w:spacing w:before="96"/>
        <w:ind w:left="0" w:leftChars="0"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（4）中标候选人排列规则顺序如下：</w:t>
      </w:r>
    </w:p>
    <w:p w14:paraId="71605F9D">
      <w:pPr>
        <w:pStyle w:val="24"/>
        <w:numPr>
          <w:ilvl w:val="0"/>
          <w:numId w:val="62"/>
        </w:numPr>
        <w:tabs>
          <w:tab w:val="left" w:pos="397"/>
        </w:tabs>
        <w:spacing w:before="113" w:after="0" w:line="240" w:lineRule="auto"/>
        <w:ind w:left="396" w:right="0" w:hanging="176"/>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按照评标总得分（FA）由高到低顺序排列。</w:t>
      </w:r>
    </w:p>
    <w:p w14:paraId="15E36E38">
      <w:pPr>
        <w:pStyle w:val="24"/>
        <w:numPr>
          <w:ilvl w:val="0"/>
          <w:numId w:val="62"/>
        </w:numPr>
        <w:tabs>
          <w:tab w:val="left" w:pos="409"/>
        </w:tabs>
        <w:spacing w:before="112" w:after="0" w:line="328" w:lineRule="auto"/>
        <w:ind w:left="220" w:right="577" w:firstLine="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2"/>
          <w:sz w:val="24"/>
        </w:rPr>
        <w:t>评标总得分</w:t>
      </w:r>
      <w:r>
        <w:rPr>
          <w:rFonts w:hint="eastAsia" w:asciiTheme="minorEastAsia" w:hAnsiTheme="minorEastAsia" w:eastAsiaTheme="minorEastAsia" w:cstheme="minorEastAsia"/>
          <w:color w:val="auto"/>
          <w:spacing w:val="-4"/>
          <w:sz w:val="24"/>
        </w:rPr>
        <w:t>（FA）相同的，按照评标价</w:t>
      </w:r>
      <w:r>
        <w:rPr>
          <w:rFonts w:hint="eastAsia" w:asciiTheme="minorEastAsia" w:hAnsiTheme="minorEastAsia" w:eastAsiaTheme="minorEastAsia" w:cstheme="minorEastAsia"/>
          <w:color w:val="auto"/>
          <w:sz w:val="24"/>
        </w:rPr>
        <w:t>（即价格扣除后的投标报价</w:t>
      </w:r>
      <w:r>
        <w:rPr>
          <w:rFonts w:hint="eastAsia" w:asciiTheme="minorEastAsia" w:hAnsiTheme="minorEastAsia" w:eastAsiaTheme="minorEastAsia" w:cstheme="minorEastAsia"/>
          <w:color w:val="auto"/>
          <w:spacing w:val="-10"/>
          <w:sz w:val="24"/>
        </w:rPr>
        <w:t>）</w:t>
      </w:r>
      <w:r>
        <w:rPr>
          <w:rFonts w:hint="eastAsia" w:asciiTheme="minorEastAsia" w:hAnsiTheme="minorEastAsia" w:eastAsiaTheme="minorEastAsia" w:cstheme="minorEastAsia"/>
          <w:color w:val="auto"/>
          <w:spacing w:val="-2"/>
          <w:sz w:val="24"/>
        </w:rPr>
        <w:t>由低到高顺序排</w:t>
      </w:r>
      <w:r>
        <w:rPr>
          <w:rFonts w:hint="eastAsia" w:asciiTheme="minorEastAsia" w:hAnsiTheme="minorEastAsia" w:eastAsiaTheme="minorEastAsia" w:cstheme="minorEastAsia"/>
          <w:color w:val="auto"/>
          <w:sz w:val="24"/>
        </w:rPr>
        <w:t>列。</w:t>
      </w:r>
    </w:p>
    <w:p w14:paraId="4742E926">
      <w:pPr>
        <w:pStyle w:val="24"/>
        <w:numPr>
          <w:ilvl w:val="0"/>
          <w:numId w:val="62"/>
        </w:numPr>
        <w:tabs>
          <w:tab w:val="left" w:pos="383"/>
        </w:tabs>
        <w:spacing w:before="0" w:after="0" w:line="305" w:lineRule="exact"/>
        <w:ind w:left="382" w:right="0" w:hanging="1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评标总得分（FA）且评标价（即价格扣除后的投标报价）相同的并列。</w:t>
      </w:r>
    </w:p>
    <w:p w14:paraId="6E28D836">
      <w:pPr>
        <w:spacing w:before="39"/>
        <w:ind w:left="220" w:right="0" w:firstLine="0"/>
        <w:jc w:val="left"/>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b/>
          <w:color w:val="auto"/>
          <w:sz w:val="24"/>
        </w:rPr>
        <w:t xml:space="preserve">采购包 </w:t>
      </w:r>
      <w:r>
        <w:rPr>
          <w:rFonts w:hint="eastAsia" w:asciiTheme="minorEastAsia" w:hAnsiTheme="minorEastAsia" w:eastAsiaTheme="minorEastAsia" w:cstheme="minorEastAsia"/>
          <w:b/>
          <w:color w:val="auto"/>
          <w:sz w:val="24"/>
          <w:lang w:val="en-US" w:eastAsia="zh-CN"/>
        </w:rPr>
        <w:t>2</w:t>
      </w:r>
      <w:r>
        <w:rPr>
          <w:rFonts w:hint="eastAsia" w:asciiTheme="minorEastAsia" w:hAnsiTheme="minorEastAsia" w:eastAsiaTheme="minorEastAsia" w:cstheme="minorEastAsia"/>
          <w:b/>
          <w:color w:val="auto"/>
          <w:sz w:val="24"/>
        </w:rPr>
        <w:t>：综合评分法</w:t>
      </w:r>
    </w:p>
    <w:p w14:paraId="0CE40974">
      <w:pPr>
        <w:pStyle w:val="24"/>
        <w:numPr>
          <w:ilvl w:val="0"/>
          <w:numId w:val="0"/>
        </w:numPr>
        <w:tabs>
          <w:tab w:val="left" w:pos="821"/>
        </w:tabs>
        <w:spacing w:before="112" w:after="0" w:line="328" w:lineRule="auto"/>
        <w:ind w:left="220" w:leftChars="0" w:right="577"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lang w:eastAsia="zh-CN"/>
        </w:rPr>
        <w:t>（</w:t>
      </w:r>
      <w:r>
        <w:rPr>
          <w:rFonts w:hint="eastAsia" w:asciiTheme="minorEastAsia" w:hAnsiTheme="minorEastAsia" w:eastAsiaTheme="minorEastAsia" w:cstheme="minorEastAsia"/>
          <w:color w:val="auto"/>
          <w:spacing w:val="-6"/>
          <w:sz w:val="24"/>
          <w:lang w:val="en-US" w:eastAsia="zh-CN"/>
        </w:rPr>
        <w:t>1</w:t>
      </w:r>
      <w:r>
        <w:rPr>
          <w:rFonts w:hint="eastAsia" w:asciiTheme="minorEastAsia" w:hAnsiTheme="minorEastAsia" w:eastAsiaTheme="minorEastAsia" w:cstheme="minorEastAsia"/>
          <w:color w:val="auto"/>
          <w:spacing w:val="-6"/>
          <w:sz w:val="24"/>
          <w:lang w:eastAsia="zh-CN"/>
        </w:rPr>
        <w:t>）</w:t>
      </w:r>
      <w:r>
        <w:rPr>
          <w:rFonts w:hint="eastAsia" w:asciiTheme="minorEastAsia" w:hAnsiTheme="minorEastAsia" w:eastAsiaTheme="minorEastAsia" w:cstheme="minorEastAsia"/>
          <w:color w:val="auto"/>
          <w:spacing w:val="-6"/>
          <w:sz w:val="24"/>
        </w:rPr>
        <w:t>投标文件满足招标文件全部实质性要求，且按照评审因素的量化指标评审得分</w:t>
      </w:r>
      <w:r>
        <w:rPr>
          <w:rFonts w:hint="eastAsia" w:asciiTheme="minorEastAsia" w:hAnsiTheme="minorEastAsia" w:eastAsiaTheme="minorEastAsia" w:cstheme="minorEastAsia"/>
          <w:color w:val="auto"/>
          <w:sz w:val="24"/>
        </w:rPr>
        <w:t xml:space="preserve">（ </w:t>
      </w:r>
      <w:r>
        <w:rPr>
          <w:rFonts w:hint="eastAsia" w:asciiTheme="minorEastAsia" w:hAnsiTheme="minorEastAsia" w:eastAsiaTheme="minorEastAsia" w:cstheme="minorEastAsia"/>
          <w:color w:val="auto"/>
          <w:spacing w:val="-4"/>
          <w:sz w:val="24"/>
        </w:rPr>
        <w:t>即评标总得分</w:t>
      </w:r>
      <w:r>
        <w:rPr>
          <w:rFonts w:hint="eastAsia" w:asciiTheme="minorEastAsia" w:hAnsiTheme="minorEastAsia" w:eastAsiaTheme="minorEastAsia" w:cstheme="minorEastAsia"/>
          <w:color w:val="auto"/>
          <w:sz w:val="24"/>
        </w:rPr>
        <w:t>）最高的投标人为中标候选人。</w:t>
      </w:r>
    </w:p>
    <w:p w14:paraId="17A3F970">
      <w:pPr>
        <w:pStyle w:val="24"/>
        <w:numPr>
          <w:ilvl w:val="0"/>
          <w:numId w:val="0"/>
        </w:numPr>
        <w:tabs>
          <w:tab w:val="left" w:pos="821"/>
        </w:tabs>
        <w:spacing w:before="0" w:after="0" w:line="305" w:lineRule="exact"/>
        <w:ind w:left="220" w:leftChars="0" w:right="0" w:rightChars="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lang w:eastAsia="zh-CN"/>
        </w:rPr>
        <w:t>（</w:t>
      </w:r>
      <w:r>
        <w:rPr>
          <w:rFonts w:hint="eastAsia" w:asciiTheme="minorEastAsia" w:hAnsiTheme="minorEastAsia" w:eastAsiaTheme="minorEastAsia" w:cstheme="minorEastAsia"/>
          <w:color w:val="auto"/>
          <w:spacing w:val="-5"/>
          <w:sz w:val="24"/>
          <w:lang w:val="en-US" w:eastAsia="zh-CN"/>
        </w:rPr>
        <w:t>2</w:t>
      </w:r>
      <w:r>
        <w:rPr>
          <w:rFonts w:hint="eastAsia" w:asciiTheme="minorEastAsia" w:hAnsiTheme="minorEastAsia" w:eastAsiaTheme="minorEastAsia" w:cstheme="minorEastAsia"/>
          <w:color w:val="auto"/>
          <w:spacing w:val="-5"/>
          <w:sz w:val="24"/>
          <w:lang w:eastAsia="zh-CN"/>
        </w:rPr>
        <w:t>）</w:t>
      </w:r>
      <w:r>
        <w:rPr>
          <w:rFonts w:hint="eastAsia" w:asciiTheme="minorEastAsia" w:hAnsiTheme="minorEastAsia" w:eastAsiaTheme="minorEastAsia" w:cstheme="minorEastAsia"/>
          <w:color w:val="auto"/>
          <w:spacing w:val="-5"/>
          <w:sz w:val="24"/>
        </w:rPr>
        <w:t xml:space="preserve">每个投标人的评标总得分 </w:t>
      </w:r>
      <w:r>
        <w:rPr>
          <w:rFonts w:hint="eastAsia" w:asciiTheme="minorEastAsia" w:hAnsiTheme="minorEastAsia" w:eastAsiaTheme="minorEastAsia" w:cstheme="minorEastAsia"/>
          <w:color w:val="auto"/>
          <w:spacing w:val="-3"/>
          <w:sz w:val="24"/>
        </w:rPr>
        <w:t>FA＝F1×A1＋F2×A2＋F3×A3＋F4×A4（</w:t>
      </w:r>
      <w:r>
        <w:rPr>
          <w:rFonts w:hint="eastAsia" w:asciiTheme="minorEastAsia" w:hAnsiTheme="minorEastAsia" w:eastAsiaTheme="minorEastAsia" w:cstheme="minorEastAsia"/>
          <w:color w:val="auto"/>
          <w:sz w:val="24"/>
        </w:rPr>
        <w:t>若有</w:t>
      </w:r>
      <w:r>
        <w:rPr>
          <w:rFonts w:hint="eastAsia" w:asciiTheme="minorEastAsia" w:hAnsiTheme="minorEastAsia" w:eastAsiaTheme="minorEastAsia" w:cstheme="minorEastAsia"/>
          <w:color w:val="auto"/>
          <w:spacing w:val="-53"/>
          <w:sz w:val="24"/>
        </w:rPr>
        <w:t>），</w:t>
      </w:r>
      <w:r>
        <w:rPr>
          <w:rFonts w:hint="eastAsia" w:asciiTheme="minorEastAsia" w:hAnsiTheme="minorEastAsia" w:eastAsiaTheme="minorEastAsia" w:cstheme="minorEastAsia"/>
          <w:color w:val="auto"/>
          <w:sz w:val="24"/>
        </w:rPr>
        <w:t>其中：</w:t>
      </w:r>
    </w:p>
    <w:p w14:paraId="272E6486">
      <w:pPr>
        <w:pStyle w:val="6"/>
        <w:spacing w:before="113" w:line="328" w:lineRule="auto"/>
        <w:ind w:right="577"/>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F1 </w:t>
      </w:r>
      <w:r>
        <w:rPr>
          <w:rFonts w:hint="eastAsia" w:asciiTheme="minorEastAsia" w:hAnsiTheme="minorEastAsia" w:eastAsiaTheme="minorEastAsia" w:cstheme="minorEastAsia"/>
          <w:color w:val="auto"/>
          <w:spacing w:val="-1"/>
        </w:rPr>
        <w:t>指价格项评审因素得分、</w:t>
      </w:r>
      <w:r>
        <w:rPr>
          <w:rFonts w:hint="eastAsia" w:asciiTheme="minorEastAsia" w:hAnsiTheme="minorEastAsia" w:eastAsiaTheme="minorEastAsia" w:cstheme="minorEastAsia"/>
          <w:color w:val="auto"/>
        </w:rPr>
        <w:t xml:space="preserve">F2 </w:t>
      </w:r>
      <w:r>
        <w:rPr>
          <w:rFonts w:hint="eastAsia" w:asciiTheme="minorEastAsia" w:hAnsiTheme="minorEastAsia" w:eastAsiaTheme="minorEastAsia" w:cstheme="minorEastAsia"/>
          <w:color w:val="auto"/>
          <w:spacing w:val="-1"/>
        </w:rPr>
        <w:t>指技术项评审因素得分、</w:t>
      </w:r>
      <w:r>
        <w:rPr>
          <w:rFonts w:hint="eastAsia" w:asciiTheme="minorEastAsia" w:hAnsiTheme="minorEastAsia" w:eastAsiaTheme="minorEastAsia" w:cstheme="minorEastAsia"/>
          <w:color w:val="auto"/>
        </w:rPr>
        <w:t xml:space="preserve">F3 </w:t>
      </w:r>
      <w:r>
        <w:rPr>
          <w:rFonts w:hint="eastAsia" w:asciiTheme="minorEastAsia" w:hAnsiTheme="minorEastAsia" w:eastAsiaTheme="minorEastAsia" w:cstheme="minorEastAsia"/>
          <w:color w:val="auto"/>
          <w:spacing w:val="-1"/>
        </w:rPr>
        <w:t>指商务项评审因素得分，</w:t>
      </w:r>
      <w:r>
        <w:rPr>
          <w:rFonts w:hint="eastAsia" w:asciiTheme="minorEastAsia" w:hAnsiTheme="minorEastAsia" w:eastAsiaTheme="minorEastAsia" w:cstheme="minorEastAsia"/>
          <w:color w:val="auto"/>
          <w:spacing w:val="-9"/>
        </w:rPr>
        <w:t xml:space="preserve">A1 </w:t>
      </w:r>
      <w:r>
        <w:rPr>
          <w:rFonts w:hint="eastAsia" w:asciiTheme="minorEastAsia" w:hAnsiTheme="minorEastAsia" w:eastAsiaTheme="minorEastAsia" w:cstheme="minorEastAsia"/>
          <w:color w:val="auto"/>
          <w:spacing w:val="-1"/>
        </w:rPr>
        <w:t>指价格项评审因素所占的权重、</w:t>
      </w:r>
      <w:r>
        <w:rPr>
          <w:rFonts w:hint="eastAsia" w:asciiTheme="minorEastAsia" w:hAnsiTheme="minorEastAsia" w:eastAsiaTheme="minorEastAsia" w:cstheme="minorEastAsia"/>
          <w:color w:val="auto"/>
        </w:rPr>
        <w:t xml:space="preserve">A2 </w:t>
      </w:r>
      <w:r>
        <w:rPr>
          <w:rFonts w:hint="eastAsia" w:asciiTheme="minorEastAsia" w:hAnsiTheme="minorEastAsia" w:eastAsiaTheme="minorEastAsia" w:cstheme="minorEastAsia"/>
          <w:color w:val="auto"/>
          <w:spacing w:val="-1"/>
        </w:rPr>
        <w:t>指技术项评审因素所占的权重、</w:t>
      </w:r>
      <w:r>
        <w:rPr>
          <w:rFonts w:hint="eastAsia" w:asciiTheme="minorEastAsia" w:hAnsiTheme="minorEastAsia" w:eastAsiaTheme="minorEastAsia" w:cstheme="minorEastAsia"/>
          <w:color w:val="auto"/>
        </w:rPr>
        <w:t xml:space="preserve">A3 </w:t>
      </w:r>
      <w:r>
        <w:rPr>
          <w:rFonts w:hint="eastAsia" w:asciiTheme="minorEastAsia" w:hAnsiTheme="minorEastAsia" w:eastAsiaTheme="minorEastAsia" w:cstheme="minorEastAsia"/>
          <w:color w:val="auto"/>
          <w:spacing w:val="-3"/>
        </w:rPr>
        <w:t>指商务项评审因</w:t>
      </w:r>
      <w:r>
        <w:rPr>
          <w:rFonts w:hint="eastAsia" w:asciiTheme="minorEastAsia" w:hAnsiTheme="minorEastAsia" w:eastAsiaTheme="minorEastAsia" w:cstheme="minorEastAsia"/>
          <w:color w:val="auto"/>
          <w:spacing w:val="-1"/>
        </w:rPr>
        <w:t>素所占的权重，</w:t>
      </w:r>
      <w:r>
        <w:rPr>
          <w:rFonts w:hint="eastAsia" w:asciiTheme="minorEastAsia" w:hAnsiTheme="minorEastAsia" w:eastAsiaTheme="minorEastAsia" w:cstheme="minorEastAsia"/>
          <w:color w:val="auto"/>
          <w:spacing w:val="-3"/>
        </w:rPr>
        <w:t>A1+A2+A3=1</w:t>
      </w:r>
      <w:r>
        <w:rPr>
          <w:rFonts w:hint="eastAsia" w:asciiTheme="minorEastAsia" w:hAnsiTheme="minorEastAsia" w:eastAsiaTheme="minorEastAsia" w:cstheme="minorEastAsia"/>
          <w:color w:val="auto"/>
          <w:spacing w:val="-20"/>
        </w:rPr>
        <w:t>、</w:t>
      </w:r>
      <w:r>
        <w:rPr>
          <w:rFonts w:hint="eastAsia" w:asciiTheme="minorEastAsia" w:hAnsiTheme="minorEastAsia" w:eastAsiaTheme="minorEastAsia" w:cstheme="minorEastAsia"/>
          <w:color w:val="auto"/>
        </w:rPr>
        <w:t xml:space="preserve">F1×A1＋F2×A2＋F3×A3=100 </w:t>
      </w:r>
      <w:r>
        <w:rPr>
          <w:rFonts w:hint="eastAsia" w:asciiTheme="minorEastAsia" w:hAnsiTheme="minorEastAsia" w:eastAsiaTheme="minorEastAsia" w:cstheme="minorEastAsia"/>
          <w:color w:val="auto"/>
          <w:spacing w:val="-17"/>
        </w:rPr>
        <w:t>分</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rPr>
        <w:t>满分时</w:t>
      </w:r>
      <w:r>
        <w:rPr>
          <w:rFonts w:hint="eastAsia" w:asciiTheme="minorEastAsia" w:hAnsiTheme="minorEastAsia" w:eastAsiaTheme="minorEastAsia" w:cstheme="minorEastAsia"/>
          <w:color w:val="auto"/>
          <w:spacing w:val="-6"/>
        </w:rPr>
        <w:t xml:space="preserve">），F4×A4 </w:t>
      </w:r>
      <w:r>
        <w:rPr>
          <w:rFonts w:hint="eastAsia" w:asciiTheme="minorEastAsia" w:hAnsiTheme="minorEastAsia" w:eastAsiaTheme="minorEastAsia" w:cstheme="minorEastAsia"/>
          <w:color w:val="auto"/>
        </w:rPr>
        <w:t>为加分项（即优先类节能产品、环境标志产品在采购活动中可享有的加分优惠）。</w:t>
      </w:r>
    </w:p>
    <w:p w14:paraId="7D6340E4">
      <w:pPr>
        <w:pStyle w:val="6"/>
        <w:spacing w:line="302" w:lineRule="exact"/>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各项评审因素的设置如下：</w:t>
      </w:r>
    </w:p>
    <w:p w14:paraId="635EC906">
      <w:pPr>
        <w:pStyle w:val="4"/>
        <w:spacing w:before="11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价格项（F1×A1）满分为 </w:t>
      </w:r>
      <w:r>
        <w:rPr>
          <w:rFonts w:hint="eastAsia" w:asciiTheme="minorEastAsia" w:hAnsiTheme="minorEastAsia" w:eastAsiaTheme="minorEastAsia" w:cstheme="minorEastAsia"/>
          <w:color w:val="auto"/>
          <w:lang w:val="en-US" w:eastAsia="zh-CN"/>
        </w:rPr>
        <w:t>30</w:t>
      </w:r>
      <w:r>
        <w:rPr>
          <w:rFonts w:hint="eastAsia" w:asciiTheme="minorEastAsia" w:hAnsiTheme="minorEastAsia" w:eastAsiaTheme="minorEastAsia" w:cstheme="minorEastAsia"/>
          <w:color w:val="auto"/>
        </w:rPr>
        <w:t>.00 分</w:t>
      </w:r>
    </w:p>
    <w:p w14:paraId="4A9ADA53">
      <w:pPr>
        <w:pStyle w:val="6"/>
        <w:spacing w:before="113" w:line="328" w:lineRule="auto"/>
        <w:ind w:right="577"/>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F1 指价格项评审因素得分</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rPr>
        <w:t>评标基准价</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rPr>
        <w:t>投标报价）×100×价格项评审因素所占的</w:t>
      </w:r>
      <w:r>
        <w:rPr>
          <w:rFonts w:hint="eastAsia" w:asciiTheme="minorEastAsia" w:hAnsiTheme="minorEastAsia" w:eastAsiaTheme="minorEastAsia" w:cstheme="minorEastAsia"/>
          <w:color w:val="auto"/>
          <w:spacing w:val="-12"/>
        </w:rPr>
        <w:t>权重</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6"/>
        </w:rPr>
        <w:t>注：满足招标文件要求且投标价格最低的投标报价为评标基准价。</w:t>
      </w:r>
      <w:r>
        <w:rPr>
          <w:rFonts w:hint="eastAsia" w:asciiTheme="minorEastAsia" w:hAnsiTheme="minorEastAsia" w:eastAsiaTheme="minorEastAsia" w:cstheme="minorEastAsia"/>
          <w:color w:val="auto"/>
          <w:spacing w:val="-22"/>
        </w:rPr>
        <w:t>）</w:t>
      </w:r>
      <w:r>
        <w:rPr>
          <w:rFonts w:hint="eastAsia" w:asciiTheme="minorEastAsia" w:hAnsiTheme="minorEastAsia" w:eastAsiaTheme="minorEastAsia" w:cstheme="minorEastAsia"/>
          <w:color w:val="auto"/>
          <w:spacing w:val="-4"/>
        </w:rPr>
        <w:t>最低报价不</w:t>
      </w:r>
      <w:r>
        <w:rPr>
          <w:rFonts w:hint="eastAsia" w:asciiTheme="minorEastAsia" w:hAnsiTheme="minorEastAsia" w:eastAsiaTheme="minorEastAsia" w:cstheme="minorEastAsia"/>
          <w:color w:val="auto"/>
          <w:spacing w:val="-9"/>
        </w:rPr>
        <w:t>是中标的唯一依据。因落实政府采购政策进行价格调整的，以调整后的价格计算评标基</w:t>
      </w:r>
      <w:r>
        <w:rPr>
          <w:rFonts w:hint="eastAsia" w:asciiTheme="minorEastAsia" w:hAnsiTheme="minorEastAsia" w:eastAsiaTheme="minorEastAsia" w:cstheme="minorEastAsia"/>
          <w:color w:val="auto"/>
        </w:rPr>
        <w:t>准价和投标报价。</w:t>
      </w:r>
    </w:p>
    <w:p w14:paraId="0FC45CDC">
      <w:pPr>
        <w:pStyle w:val="6"/>
        <w:spacing w:before="113" w:line="328" w:lineRule="auto"/>
        <w:ind w:right="577"/>
        <w:jc w:val="both"/>
        <w:rPr>
          <w:rFonts w:hint="eastAsia" w:asciiTheme="minorEastAsia" w:hAnsiTheme="minorEastAsia" w:eastAsiaTheme="minorEastAsia" w:cstheme="minorEastAsia"/>
          <w:color w:val="auto"/>
          <w:spacing w:val="-6"/>
        </w:rPr>
      </w:pPr>
      <w:r>
        <w:rPr>
          <w:rFonts w:hint="eastAsia" w:asciiTheme="minorEastAsia" w:hAnsiTheme="minorEastAsia" w:eastAsiaTheme="minorEastAsia" w:cstheme="minorEastAsia"/>
          <w:color w:val="auto"/>
          <w:spacing w:val="-6"/>
        </w:rPr>
        <w:t>价格扣除的规则如下：</w:t>
      </w:r>
    </w:p>
    <w:tbl>
      <w:tblPr>
        <w:tblStyle w:val="18"/>
        <w:tblW w:w="4998"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59"/>
        <w:gridCol w:w="1428"/>
        <w:gridCol w:w="1129"/>
        <w:gridCol w:w="6426"/>
      </w:tblGrid>
      <w:tr w14:paraId="370782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27" w:type="pct"/>
          </w:tcPr>
          <w:p w14:paraId="2BE52060">
            <w:pPr>
              <w:pStyle w:val="26"/>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项目</w:t>
            </w:r>
          </w:p>
        </w:tc>
        <w:tc>
          <w:tcPr>
            <w:tcW w:w="711" w:type="pct"/>
          </w:tcPr>
          <w:p w14:paraId="69751D43">
            <w:pPr>
              <w:pStyle w:val="26"/>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适用对象</w:t>
            </w:r>
          </w:p>
        </w:tc>
        <w:tc>
          <w:tcPr>
            <w:tcW w:w="562" w:type="pct"/>
          </w:tcPr>
          <w:p w14:paraId="18B97C89">
            <w:pPr>
              <w:pStyle w:val="26"/>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比例</w:t>
            </w:r>
          </w:p>
        </w:tc>
        <w:tc>
          <w:tcPr>
            <w:tcW w:w="3199" w:type="pct"/>
          </w:tcPr>
          <w:p w14:paraId="5EEEF346">
            <w:pPr>
              <w:pStyle w:val="26"/>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描述</w:t>
            </w:r>
          </w:p>
        </w:tc>
      </w:tr>
      <w:tr w14:paraId="296F64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27" w:type="pct"/>
          </w:tcPr>
          <w:p w14:paraId="57514B9B">
            <w:pPr>
              <w:pStyle w:val="26"/>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小型、微型企业，监狱企业，残疾人福利性单位</w:t>
            </w:r>
          </w:p>
        </w:tc>
        <w:tc>
          <w:tcPr>
            <w:tcW w:w="711" w:type="pct"/>
          </w:tcPr>
          <w:p w14:paraId="4401EEB9">
            <w:pPr>
              <w:pStyle w:val="26"/>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投标人或者联合体均为小型、微型企业</w:t>
            </w:r>
          </w:p>
        </w:tc>
        <w:tc>
          <w:tcPr>
            <w:tcW w:w="562" w:type="pct"/>
          </w:tcPr>
          <w:p w14:paraId="5B8D09DD">
            <w:pPr>
              <w:pStyle w:val="26"/>
              <w:jc w:val="righ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15.00%</w:t>
            </w:r>
          </w:p>
        </w:tc>
        <w:tc>
          <w:tcPr>
            <w:tcW w:w="3199" w:type="pct"/>
          </w:tcPr>
          <w:p w14:paraId="76EB14E4">
            <w:pPr>
              <w:pStyle w:val="26"/>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评审时，对符合《政府采购促进中小企业发展管理办法》（财库﹝2020﹞46号）和《关于进一步加大政府采购支持中小企业力度的通知》（财库﹝2022﹞19号）规定的小微企业报价给予价格扣除【货物和服务项目为15%；工程项目为5%；对于联合协议或者分包意向协议约定小微企业的合同份额占到合同总金额30%以上的，对联合体或者大中型企业的报价扣除比例为5%（工程项目为2%）】，用扣除后的价格参加评审。投标人须提供合格的中小企业声明函，否则不予价格扣除。2、根据财政部、司法部联合印发《关于政府采购支持监狱企业发展有关问题的通知》（财库【2014】68号）文件规定，凡监狱企业参加政府采购活动视同小型、微型企业，享受评审价格扣除的政府采购优惠政策，但必须提供由省级以上监狱管理局、戒毒管理局（含新疆生产建设兵团）出具的属于监狱企业的证明文件，否则评审时不予价格扣除优惠。3、根据财政部、民政部、中国残联文件《关于促进残疾人就业政府采购政策的通知》（财库[2017]141号）规定，凡符合上述文件要求条件的残疾人福利性单位在参加政府采购活动时视同小型、微型企业，享受预留份额、评审中价格扣除等促进中小企业发展的政府采购政策，但必须提供《残疾人福利性单位声明函》。对于残疾人福利性单位参与货物项目的，必须标明具体哪些货物是其本单位制造的货物，或者是由其他残疾人福利性单位制造的货物（不包括使用非残疾人福利性单位注册商标的货物），仅有标明部分的货物才能启动价格扣除，并对声明的真实性负责，否则评审时不予价格扣除优惠。4、招标文件规定与政府采购相关法律、法规、制度等有冲突的，以现行法律、法规、制度等执行。</w:t>
            </w:r>
            <w:r>
              <w:rPr>
                <w:rFonts w:hint="eastAsia" w:asciiTheme="minorEastAsia" w:hAnsiTheme="minorEastAsia" w:eastAsiaTheme="minorEastAsia" w:cstheme="minorEastAsia"/>
                <w:color w:val="auto"/>
                <w:sz w:val="24"/>
              </w:rPr>
              <w:t>本项目采购标的对应的中小企业划分标准所属行业为工业。</w:t>
            </w:r>
          </w:p>
        </w:tc>
      </w:tr>
    </w:tbl>
    <w:p w14:paraId="4E1CDB60">
      <w:pPr>
        <w:spacing w:before="96" w:after="17"/>
        <w:ind w:left="220" w:right="0" w:firstLine="0"/>
        <w:jc w:val="left"/>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b/>
          <w:color w:val="auto"/>
          <w:sz w:val="24"/>
        </w:rPr>
        <w:t xml:space="preserve">技术项（F2×A2）满分为 </w:t>
      </w:r>
      <w:r>
        <w:rPr>
          <w:rFonts w:hint="eastAsia" w:asciiTheme="minorEastAsia" w:hAnsiTheme="minorEastAsia" w:eastAsiaTheme="minorEastAsia" w:cstheme="minorEastAsia"/>
          <w:b/>
          <w:color w:val="auto"/>
          <w:sz w:val="24"/>
          <w:lang w:val="en-US" w:eastAsia="zh-CN"/>
        </w:rPr>
        <w:t>55</w:t>
      </w:r>
      <w:r>
        <w:rPr>
          <w:rFonts w:hint="eastAsia" w:asciiTheme="minorEastAsia" w:hAnsiTheme="minorEastAsia" w:eastAsiaTheme="minorEastAsia" w:cstheme="minorEastAsia"/>
          <w:b/>
          <w:color w:val="auto"/>
          <w:sz w:val="24"/>
        </w:rPr>
        <w:t>.00 分</w:t>
      </w:r>
    </w:p>
    <w:p w14:paraId="122727C8">
      <w:pPr>
        <w:spacing w:before="96" w:after="17"/>
        <w:ind w:left="220" w:right="0" w:firstLine="0"/>
        <w:jc w:val="left"/>
        <w:rPr>
          <w:rFonts w:hint="eastAsia" w:asciiTheme="minorEastAsia" w:hAnsiTheme="minorEastAsia" w:eastAsiaTheme="minorEastAsia" w:cstheme="minorEastAsia"/>
          <w:b/>
          <w:color w:val="auto"/>
          <w:sz w:val="24"/>
        </w:rPr>
      </w:pPr>
    </w:p>
    <w:tbl>
      <w:tblPr>
        <w:tblStyle w:val="19"/>
        <w:tblW w:w="0" w:type="auto"/>
        <w:tblInd w:w="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0"/>
        <w:gridCol w:w="750"/>
        <w:gridCol w:w="8151"/>
      </w:tblGrid>
      <w:tr w14:paraId="6DB98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dxa"/>
            <w:vAlign w:val="top"/>
          </w:tcPr>
          <w:p w14:paraId="762B0D51">
            <w:pPr>
              <w:pStyle w:val="26"/>
              <w:widowControl w:val="0"/>
              <w:spacing w:line="36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项目</w:t>
            </w:r>
          </w:p>
        </w:tc>
        <w:tc>
          <w:tcPr>
            <w:tcW w:w="750" w:type="dxa"/>
            <w:vAlign w:val="top"/>
          </w:tcPr>
          <w:p w14:paraId="6DA154F9">
            <w:pPr>
              <w:pStyle w:val="26"/>
              <w:widowControl w:val="0"/>
              <w:spacing w:line="36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分值</w:t>
            </w:r>
          </w:p>
        </w:tc>
        <w:tc>
          <w:tcPr>
            <w:tcW w:w="8151" w:type="dxa"/>
            <w:vAlign w:val="top"/>
          </w:tcPr>
          <w:p w14:paraId="1C604ED9">
            <w:pPr>
              <w:pStyle w:val="26"/>
              <w:widowControl w:val="0"/>
              <w:spacing w:line="36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描述</w:t>
            </w:r>
          </w:p>
        </w:tc>
      </w:tr>
      <w:tr w14:paraId="0DE4B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dxa"/>
            <w:vAlign w:val="center"/>
          </w:tcPr>
          <w:p w14:paraId="2BDCA9E2">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hint="eastAsia" w:ascii="宋体" w:hAnsi="宋体" w:eastAsia="宋体" w:cs="宋体"/>
                <w:b/>
                <w:color w:val="auto"/>
                <w:sz w:val="24"/>
                <w:szCs w:val="24"/>
                <w:highlight w:val="none"/>
                <w:vertAlign w:val="baseline"/>
              </w:rPr>
            </w:pPr>
            <w:r>
              <w:rPr>
                <w:rFonts w:hint="eastAsia" w:ascii="宋体" w:hAnsi="宋体" w:eastAsia="宋体" w:cs="宋体"/>
                <w:color w:val="auto"/>
                <w:spacing w:val="-6"/>
                <w:sz w:val="24"/>
                <w:szCs w:val="24"/>
                <w:highlight w:val="none"/>
                <w:lang w:val="en-US" w:eastAsia="en-US" w:bidi="ar-SA"/>
              </w:rPr>
              <w:t>1</w:t>
            </w:r>
            <w:r>
              <w:rPr>
                <w:rFonts w:hint="eastAsia" w:ascii="宋体" w:hAnsi="宋体" w:eastAsia="宋体" w:cs="宋体"/>
                <w:color w:val="auto"/>
                <w:spacing w:val="-6"/>
                <w:sz w:val="24"/>
                <w:szCs w:val="24"/>
                <w:highlight w:val="none"/>
                <w:lang w:val="en-US" w:eastAsia="zh-CN" w:bidi="ar-SA"/>
              </w:rPr>
              <w:t>.</w:t>
            </w:r>
            <w:r>
              <w:rPr>
                <w:rFonts w:hint="eastAsia" w:ascii="宋体" w:hAnsi="宋体" w:eastAsia="宋体" w:cs="宋体"/>
                <w:color w:val="auto"/>
                <w:spacing w:val="-6"/>
                <w:sz w:val="24"/>
                <w:szCs w:val="24"/>
                <w:highlight w:val="none"/>
                <w:lang w:val="en-US" w:eastAsia="en-US" w:bidi="ar-SA"/>
              </w:rPr>
              <w:t>技术规格及要求符合情况</w:t>
            </w:r>
          </w:p>
        </w:tc>
        <w:tc>
          <w:tcPr>
            <w:tcW w:w="750" w:type="dxa"/>
            <w:vAlign w:val="center"/>
          </w:tcPr>
          <w:p w14:paraId="4F40196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hint="default" w:ascii="宋体" w:hAnsi="宋体" w:eastAsia="宋体" w:cs="宋体"/>
                <w:b/>
                <w:color w:val="auto"/>
                <w:sz w:val="24"/>
                <w:szCs w:val="24"/>
                <w:highlight w:val="none"/>
                <w:vertAlign w:val="baseline"/>
                <w:lang w:val="en-US" w:eastAsia="zh-CN"/>
              </w:rPr>
            </w:pPr>
            <w:r>
              <w:rPr>
                <w:rFonts w:hint="eastAsia" w:cs="宋体"/>
                <w:b w:val="0"/>
                <w:bCs/>
                <w:color w:val="auto"/>
                <w:sz w:val="24"/>
                <w:szCs w:val="24"/>
                <w:highlight w:val="none"/>
                <w:vertAlign w:val="baseline"/>
                <w:lang w:val="en-US" w:eastAsia="zh-CN"/>
              </w:rPr>
              <w:t>48</w:t>
            </w:r>
          </w:p>
        </w:tc>
        <w:tc>
          <w:tcPr>
            <w:tcW w:w="8151" w:type="dxa"/>
            <w:vAlign w:val="top"/>
          </w:tcPr>
          <w:p w14:paraId="7BF2EC6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ascii="宋体" w:hAnsi="宋体" w:eastAsia="宋体" w:cs="宋体"/>
                <w:b/>
                <w:color w:val="auto"/>
                <w:sz w:val="24"/>
                <w:szCs w:val="24"/>
                <w:highlight w:val="none"/>
                <w:vertAlign w:val="baseline"/>
              </w:rPr>
            </w:pPr>
            <w:r>
              <w:rPr>
                <w:rFonts w:hint="eastAsia" w:ascii="宋体" w:hAnsi="宋体" w:eastAsia="宋体" w:cs="宋体"/>
                <w:color w:val="auto"/>
                <w:spacing w:val="-6"/>
                <w:sz w:val="24"/>
                <w:szCs w:val="24"/>
                <w:highlight w:val="none"/>
                <w:lang w:val="en-US" w:eastAsia="en-US" w:bidi="ar-SA"/>
              </w:rPr>
              <w:t>根据投标人所投</w:t>
            </w:r>
            <w:r>
              <w:rPr>
                <w:rFonts w:hint="eastAsia" w:ascii="宋体" w:hAnsi="宋体" w:eastAsia="宋体" w:cs="宋体"/>
                <w:color w:val="auto"/>
                <w:kern w:val="0"/>
                <w:sz w:val="24"/>
                <w:szCs w:val="24"/>
                <w:highlight w:val="none"/>
              </w:rPr>
              <w:t>产品</w:t>
            </w:r>
            <w:r>
              <w:rPr>
                <w:rFonts w:hint="eastAsia" w:ascii="宋体" w:hAnsi="宋体" w:eastAsia="宋体" w:cs="宋体"/>
                <w:color w:val="auto"/>
                <w:spacing w:val="-6"/>
                <w:sz w:val="24"/>
                <w:szCs w:val="24"/>
                <w:highlight w:val="none"/>
                <w:lang w:val="en-US" w:eastAsia="en-US" w:bidi="ar-SA"/>
              </w:rPr>
              <w:t>对《第</w:t>
            </w:r>
            <w:r>
              <w:rPr>
                <w:rFonts w:hint="eastAsia" w:ascii="宋体" w:hAnsi="宋体" w:eastAsia="宋体" w:cs="宋体"/>
                <w:color w:val="auto"/>
                <w:spacing w:val="-6"/>
                <w:sz w:val="24"/>
                <w:szCs w:val="24"/>
                <w:highlight w:val="none"/>
                <w:lang w:val="en-US" w:eastAsia="zh-CN" w:bidi="ar-SA"/>
              </w:rPr>
              <w:t>五</w:t>
            </w:r>
            <w:r>
              <w:rPr>
                <w:rFonts w:hint="eastAsia" w:ascii="宋体" w:hAnsi="宋体" w:eastAsia="宋体" w:cs="宋体"/>
                <w:color w:val="auto"/>
                <w:spacing w:val="-6"/>
                <w:sz w:val="24"/>
                <w:szCs w:val="24"/>
                <w:highlight w:val="none"/>
                <w:lang w:val="en-US" w:eastAsia="en-US" w:bidi="ar-SA"/>
              </w:rPr>
              <w:t>章 招标内容及要求》二、技术和服务要求中的</w:t>
            </w:r>
            <w:r>
              <w:rPr>
                <w:rFonts w:hint="eastAsia" w:cs="宋体"/>
                <w:b/>
                <w:bCs/>
                <w:color w:val="auto"/>
                <w:spacing w:val="-6"/>
                <w:sz w:val="24"/>
                <w:szCs w:val="24"/>
                <w:highlight w:val="none"/>
                <w:lang w:val="en-US" w:eastAsia="zh-CN" w:bidi="ar-SA"/>
              </w:rPr>
              <w:t>采购包2</w:t>
            </w:r>
            <w:r>
              <w:rPr>
                <w:rFonts w:hint="eastAsia" w:ascii="宋体" w:hAnsi="宋体" w:eastAsia="宋体" w:cs="宋体"/>
                <w:color w:val="auto"/>
                <w:spacing w:val="-6"/>
                <w:sz w:val="24"/>
                <w:szCs w:val="24"/>
                <w:highlight w:val="none"/>
                <w:lang w:val="en-US" w:eastAsia="en-US" w:bidi="ar-SA"/>
              </w:rPr>
              <w:t>各项配置要求的响应承诺情况，由评委进行评议并评分, 完全满足招标文件技术参数要求的得</w:t>
            </w:r>
            <w:r>
              <w:rPr>
                <w:rFonts w:hint="eastAsia" w:cs="宋体"/>
                <w:color w:val="auto"/>
                <w:spacing w:val="-6"/>
                <w:sz w:val="24"/>
                <w:szCs w:val="24"/>
                <w:highlight w:val="none"/>
                <w:lang w:val="en-US" w:eastAsia="zh-CN" w:bidi="ar-SA"/>
              </w:rPr>
              <w:t>48</w:t>
            </w:r>
            <w:r>
              <w:rPr>
                <w:rFonts w:hint="eastAsia" w:ascii="宋体" w:hAnsi="宋体" w:eastAsia="宋体" w:cs="宋体"/>
                <w:color w:val="auto"/>
                <w:spacing w:val="-6"/>
                <w:sz w:val="24"/>
                <w:szCs w:val="24"/>
                <w:highlight w:val="none"/>
                <w:lang w:val="en-US" w:eastAsia="en-US" w:bidi="ar-SA"/>
              </w:rPr>
              <w:t>分，</w:t>
            </w:r>
            <w:r>
              <w:rPr>
                <w:rFonts w:hint="eastAsia" w:cs="宋体"/>
                <w:color w:val="auto"/>
                <w:spacing w:val="-6"/>
                <w:sz w:val="24"/>
                <w:szCs w:val="24"/>
                <w:highlight w:val="none"/>
                <w:lang w:val="en-US" w:eastAsia="zh-CN" w:bidi="ar-SA"/>
              </w:rPr>
              <w:t>招标文件</w:t>
            </w:r>
            <w:r>
              <w:rPr>
                <w:rFonts w:hint="eastAsia" w:ascii="宋体" w:hAnsi="宋体" w:eastAsia="宋体" w:cs="宋体"/>
                <w:color w:val="auto"/>
                <w:spacing w:val="-6"/>
                <w:sz w:val="24"/>
                <w:szCs w:val="24"/>
                <w:highlight w:val="none"/>
                <w:lang w:val="en-US" w:eastAsia="en-US" w:bidi="ar-SA"/>
              </w:rPr>
              <w:t>技术参数中标注“★”的参数（共</w:t>
            </w:r>
            <w:r>
              <w:rPr>
                <w:rFonts w:hint="eastAsia" w:cs="宋体"/>
                <w:color w:val="auto"/>
                <w:spacing w:val="-6"/>
                <w:sz w:val="24"/>
                <w:szCs w:val="24"/>
                <w:highlight w:val="none"/>
                <w:lang w:val="en-US" w:eastAsia="zh-CN" w:bidi="ar-SA"/>
              </w:rPr>
              <w:t>1</w:t>
            </w:r>
            <w:r>
              <w:rPr>
                <w:rFonts w:hint="eastAsia" w:ascii="宋体" w:hAnsi="宋体" w:eastAsia="宋体" w:cs="宋体"/>
                <w:color w:val="auto"/>
                <w:spacing w:val="-6"/>
                <w:sz w:val="24"/>
                <w:szCs w:val="24"/>
                <w:highlight w:val="none"/>
                <w:lang w:val="en-US" w:eastAsia="en-US" w:bidi="ar-SA"/>
              </w:rPr>
              <w:t>项）为不允许负偏离的实质性要求，如若负偏离则视为无效投标；其中技术参数中标注“</w:t>
            </w:r>
            <w:r>
              <w:rPr>
                <w:rFonts w:hint="eastAsia" w:ascii="宋体" w:hAnsi="宋体" w:eastAsia="宋体" w:cs="宋体"/>
                <w:color w:val="auto"/>
                <w:sz w:val="24"/>
                <w:szCs w:val="24"/>
                <w:highlight w:val="none"/>
              </w:rPr>
              <w:t>▲</w:t>
            </w:r>
            <w:r>
              <w:rPr>
                <w:rFonts w:hint="eastAsia" w:ascii="宋体" w:hAnsi="宋体" w:eastAsia="宋体" w:cs="宋体"/>
                <w:color w:val="auto"/>
                <w:spacing w:val="-6"/>
                <w:sz w:val="24"/>
                <w:szCs w:val="24"/>
                <w:highlight w:val="none"/>
                <w:lang w:val="en-US" w:eastAsia="en-US" w:bidi="ar-SA"/>
              </w:rPr>
              <w:t>”的参数为</w:t>
            </w:r>
            <w:r>
              <w:rPr>
                <w:rFonts w:hint="eastAsia" w:ascii="宋体" w:hAnsi="宋体" w:eastAsia="宋体"/>
                <w:color w:val="auto"/>
                <w:sz w:val="24"/>
                <w:szCs w:val="24"/>
                <w:highlight w:val="none"/>
              </w:rPr>
              <w:t>重要</w:t>
            </w:r>
            <w:r>
              <w:rPr>
                <w:rFonts w:hint="eastAsia"/>
                <w:color w:val="auto"/>
                <w:sz w:val="24"/>
                <w:szCs w:val="24"/>
                <w:highlight w:val="none"/>
                <w:lang w:eastAsia="zh-CN"/>
              </w:rPr>
              <w:t>参数</w:t>
            </w:r>
            <w:r>
              <w:rPr>
                <w:rFonts w:hint="eastAsia" w:ascii="宋体" w:hAnsi="宋体" w:eastAsia="宋体" w:cs="宋体"/>
                <w:color w:val="auto"/>
                <w:spacing w:val="-6"/>
                <w:sz w:val="24"/>
                <w:szCs w:val="24"/>
                <w:highlight w:val="none"/>
                <w:lang w:val="en-US" w:eastAsia="en-US" w:bidi="ar-SA"/>
              </w:rPr>
              <w:t>，每偏离一项扣</w:t>
            </w:r>
            <w:r>
              <w:rPr>
                <w:rFonts w:hint="eastAsia" w:cs="宋体"/>
                <w:color w:val="auto"/>
                <w:spacing w:val="-6"/>
                <w:sz w:val="24"/>
                <w:szCs w:val="24"/>
                <w:highlight w:val="none"/>
                <w:lang w:val="en-US" w:eastAsia="zh-CN" w:bidi="ar-SA"/>
              </w:rPr>
              <w:t>3</w:t>
            </w:r>
            <w:r>
              <w:rPr>
                <w:rFonts w:hint="eastAsia" w:ascii="宋体" w:hAnsi="宋体" w:eastAsia="宋体" w:cs="宋体"/>
                <w:color w:val="auto"/>
                <w:sz w:val="24"/>
                <w:szCs w:val="24"/>
                <w:highlight w:val="none"/>
              </w:rPr>
              <w:t>分（总计</w:t>
            </w:r>
            <w:r>
              <w:rPr>
                <w:rFonts w:hint="eastAsia" w:cs="宋体"/>
                <w:color w:val="auto"/>
                <w:sz w:val="24"/>
                <w:szCs w:val="24"/>
                <w:highlight w:val="none"/>
                <w:lang w:val="en-US" w:eastAsia="zh-CN"/>
              </w:rPr>
              <w:t>9</w:t>
            </w:r>
            <w:r>
              <w:rPr>
                <w:rFonts w:hint="eastAsia" w:ascii="宋体" w:hAnsi="宋体" w:eastAsia="宋体" w:cs="宋体"/>
                <w:color w:val="auto"/>
                <w:sz w:val="24"/>
                <w:szCs w:val="24"/>
                <w:highlight w:val="none"/>
              </w:rPr>
              <w:t>项）</w:t>
            </w:r>
            <w:r>
              <w:rPr>
                <w:rFonts w:hint="eastAsia" w:ascii="宋体" w:hAnsi="宋体" w:eastAsia="宋体" w:cs="宋体"/>
                <w:color w:val="auto"/>
                <w:spacing w:val="-6"/>
                <w:sz w:val="24"/>
                <w:szCs w:val="24"/>
                <w:highlight w:val="none"/>
                <w:lang w:val="en-US" w:eastAsia="en-US" w:bidi="ar-SA"/>
              </w:rPr>
              <w:t>；其余每偏离一项扣</w:t>
            </w:r>
            <w:r>
              <w:rPr>
                <w:rFonts w:hint="eastAsia" w:cs="宋体"/>
                <w:color w:val="auto"/>
                <w:spacing w:val="-6"/>
                <w:sz w:val="24"/>
                <w:szCs w:val="24"/>
                <w:highlight w:val="none"/>
                <w:lang w:val="en-US" w:eastAsia="zh-CN" w:bidi="ar-SA"/>
              </w:rPr>
              <w:t>0.6</w:t>
            </w:r>
            <w:r>
              <w:rPr>
                <w:rFonts w:hint="eastAsia" w:ascii="宋体" w:hAnsi="宋体" w:eastAsia="宋体" w:cs="宋体"/>
                <w:color w:val="auto"/>
                <w:sz w:val="24"/>
                <w:szCs w:val="24"/>
                <w:highlight w:val="none"/>
              </w:rPr>
              <w:t>分（总计</w:t>
            </w:r>
            <w:r>
              <w:rPr>
                <w:rFonts w:hint="eastAsia" w:cs="宋体"/>
                <w:color w:val="auto"/>
                <w:sz w:val="24"/>
                <w:szCs w:val="24"/>
                <w:highlight w:val="none"/>
                <w:lang w:val="en-US" w:eastAsia="zh-CN"/>
              </w:rPr>
              <w:t>35</w:t>
            </w:r>
            <w:r>
              <w:rPr>
                <w:rFonts w:hint="eastAsia" w:ascii="宋体" w:hAnsi="宋体" w:eastAsia="宋体" w:cs="宋体"/>
                <w:color w:val="auto"/>
                <w:sz w:val="24"/>
                <w:szCs w:val="24"/>
                <w:highlight w:val="none"/>
              </w:rPr>
              <w:t>项）</w:t>
            </w:r>
            <w:r>
              <w:rPr>
                <w:rFonts w:hint="eastAsia" w:ascii="宋体" w:hAnsi="宋体" w:eastAsia="宋体" w:cs="宋体"/>
                <w:color w:val="auto"/>
                <w:spacing w:val="-6"/>
                <w:sz w:val="24"/>
                <w:szCs w:val="24"/>
                <w:highlight w:val="none"/>
                <w:lang w:val="en-US" w:eastAsia="zh-CN" w:bidi="ar-SA"/>
              </w:rPr>
              <w:t>，</w:t>
            </w:r>
            <w:r>
              <w:rPr>
                <w:rFonts w:hint="eastAsia" w:ascii="宋体" w:hAnsi="宋体" w:eastAsia="宋体" w:cs="宋体"/>
                <w:color w:val="auto"/>
                <w:spacing w:val="-6"/>
                <w:sz w:val="24"/>
                <w:szCs w:val="24"/>
                <w:highlight w:val="none"/>
                <w:lang w:val="en-US" w:eastAsia="en-US" w:bidi="ar-SA"/>
              </w:rPr>
              <w:t>优于招标文件中技术参数要求的不加分。</w:t>
            </w:r>
          </w:p>
        </w:tc>
      </w:tr>
      <w:tr w14:paraId="4B698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trPr>
        <w:tc>
          <w:tcPr>
            <w:tcW w:w="1120" w:type="dxa"/>
            <w:vAlign w:val="center"/>
          </w:tcPr>
          <w:p w14:paraId="199167E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rPr>
                <w:rFonts w:hint="eastAsia" w:ascii="宋体" w:hAnsi="宋体" w:eastAsia="宋体" w:cs="宋体"/>
                <w:color w:val="auto"/>
                <w:spacing w:val="-6"/>
                <w:sz w:val="24"/>
                <w:szCs w:val="24"/>
                <w:lang w:val="en-US" w:eastAsia="zh-CN" w:bidi="ar-SA"/>
              </w:rPr>
            </w:pPr>
            <w:r>
              <w:rPr>
                <w:rFonts w:hint="eastAsia" w:ascii="宋体" w:hAnsi="宋体" w:eastAsia="宋体" w:cs="宋体"/>
                <w:bCs/>
                <w:color w:val="auto"/>
                <w:kern w:val="0"/>
                <w:sz w:val="24"/>
                <w:szCs w:val="24"/>
                <w:lang w:val="en-US" w:eastAsia="zh-CN" w:bidi="ar-SA"/>
              </w:rPr>
              <w:t>2.</w:t>
            </w:r>
            <w:r>
              <w:rPr>
                <w:rFonts w:hint="eastAsia" w:ascii="宋体" w:hAnsi="宋体" w:eastAsia="宋体"/>
                <w:color w:val="auto"/>
                <w:sz w:val="24"/>
                <w:szCs w:val="24"/>
              </w:rPr>
              <w:t>电池</w:t>
            </w:r>
            <w:r>
              <w:rPr>
                <w:rFonts w:ascii="宋体" w:hAnsi="宋体" w:eastAsia="宋体"/>
                <w:color w:val="auto"/>
                <w:sz w:val="24"/>
                <w:szCs w:val="24"/>
              </w:rPr>
              <w:t>能量度</w:t>
            </w:r>
          </w:p>
        </w:tc>
        <w:tc>
          <w:tcPr>
            <w:tcW w:w="750" w:type="dxa"/>
            <w:vAlign w:val="center"/>
          </w:tcPr>
          <w:p w14:paraId="1C6557A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hint="eastAsia" w:ascii="宋体" w:hAnsi="宋体" w:eastAsia="宋体" w:cs="宋体"/>
                <w:b w:val="0"/>
                <w:bCs/>
                <w:color w:val="auto"/>
                <w:sz w:val="24"/>
                <w:szCs w:val="24"/>
                <w:vertAlign w:val="baseline"/>
                <w:lang w:val="en-US" w:eastAsia="zh-CN"/>
              </w:rPr>
            </w:pPr>
            <w:r>
              <w:rPr>
                <w:rFonts w:hint="eastAsia" w:ascii="宋体" w:hAnsi="宋体" w:eastAsia="宋体" w:cs="宋体"/>
                <w:b w:val="0"/>
                <w:bCs/>
                <w:color w:val="auto"/>
                <w:sz w:val="24"/>
                <w:szCs w:val="24"/>
                <w:vertAlign w:val="baseline"/>
                <w:lang w:val="en-US" w:eastAsia="zh-CN"/>
              </w:rPr>
              <w:t>3</w:t>
            </w:r>
          </w:p>
        </w:tc>
        <w:tc>
          <w:tcPr>
            <w:tcW w:w="8151" w:type="dxa"/>
            <w:vAlign w:val="top"/>
          </w:tcPr>
          <w:p w14:paraId="20FCA4D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rPr>
                <w:rFonts w:ascii="宋体" w:hAnsi="宋体" w:eastAsia="宋体" w:cs="宋体"/>
                <w:color w:val="auto"/>
                <w:sz w:val="24"/>
                <w:szCs w:val="24"/>
              </w:rPr>
            </w:pPr>
            <w:r>
              <w:rPr>
                <w:rFonts w:hint="eastAsia" w:ascii="宋体" w:hAnsi="宋体" w:eastAsia="宋体" w:cs="宋体"/>
                <w:color w:val="auto"/>
                <w:spacing w:val="-6"/>
                <w:sz w:val="24"/>
                <w:szCs w:val="24"/>
                <w:highlight w:val="none"/>
                <w:lang w:val="en-US" w:eastAsia="en-US" w:bidi="ar-SA"/>
              </w:rPr>
              <w:t>根据投标人所投</w:t>
            </w:r>
            <w:r>
              <w:rPr>
                <w:rFonts w:hint="eastAsia"/>
                <w:color w:val="auto"/>
                <w:sz w:val="24"/>
                <w:szCs w:val="24"/>
                <w:lang w:eastAsia="zh-CN"/>
              </w:rPr>
              <w:t>车辆</w:t>
            </w:r>
            <w:r>
              <w:rPr>
                <w:rFonts w:hint="eastAsia" w:ascii="宋体" w:hAnsi="宋体" w:eastAsia="宋体"/>
                <w:color w:val="auto"/>
                <w:sz w:val="24"/>
                <w:szCs w:val="24"/>
              </w:rPr>
              <w:t>整车采用电池的</w:t>
            </w:r>
            <w:r>
              <w:rPr>
                <w:rFonts w:ascii="宋体" w:hAnsi="宋体" w:eastAsia="宋体"/>
                <w:color w:val="auto"/>
                <w:sz w:val="24"/>
                <w:szCs w:val="24"/>
              </w:rPr>
              <w:t>电池能量密度</w:t>
            </w:r>
            <w:r>
              <w:rPr>
                <w:rFonts w:hint="eastAsia" w:ascii="宋体" w:hAnsi="宋体" w:eastAsia="宋体"/>
                <w:color w:val="auto"/>
                <w:sz w:val="24"/>
                <w:szCs w:val="24"/>
              </w:rPr>
              <w:t>，电池</w:t>
            </w:r>
            <w:r>
              <w:rPr>
                <w:rFonts w:ascii="宋体" w:hAnsi="宋体" w:eastAsia="宋体"/>
                <w:color w:val="auto"/>
                <w:sz w:val="24"/>
                <w:szCs w:val="24"/>
              </w:rPr>
              <w:t>能量密度</w:t>
            </w:r>
            <w:r>
              <w:rPr>
                <w:rFonts w:hint="eastAsia" w:ascii="宋体" w:hAnsi="宋体" w:eastAsia="宋体"/>
                <w:color w:val="auto"/>
                <w:sz w:val="24"/>
                <w:szCs w:val="24"/>
              </w:rPr>
              <w:t>≥170</w:t>
            </w:r>
            <w:r>
              <w:rPr>
                <w:rFonts w:hint="eastAsia" w:ascii="宋体" w:hAnsi="宋体" w:eastAsia="宋体" w:cs="宋体"/>
                <w:color w:val="auto"/>
                <w:sz w:val="24"/>
                <w:szCs w:val="24"/>
              </w:rPr>
              <w:t>wh/kg</w:t>
            </w:r>
            <w:r>
              <w:rPr>
                <w:rFonts w:ascii="宋体" w:hAnsi="宋体" w:eastAsia="宋体" w:cs="宋体"/>
                <w:color w:val="auto"/>
                <w:sz w:val="24"/>
                <w:szCs w:val="24"/>
              </w:rPr>
              <w:t>得</w:t>
            </w:r>
            <w:r>
              <w:rPr>
                <w:rFonts w:hint="eastAsia" w:ascii="宋体" w:hAnsi="宋体" w:eastAsia="宋体" w:cs="宋体"/>
                <w:color w:val="auto"/>
                <w:sz w:val="24"/>
                <w:szCs w:val="24"/>
              </w:rPr>
              <w:t>3分，1</w:t>
            </w:r>
            <w:r>
              <w:rPr>
                <w:rFonts w:ascii="宋体" w:hAnsi="宋体" w:eastAsia="宋体" w:cs="宋体"/>
                <w:color w:val="auto"/>
                <w:sz w:val="24"/>
                <w:szCs w:val="24"/>
              </w:rPr>
              <w:t>6</w:t>
            </w:r>
            <w:r>
              <w:rPr>
                <w:rFonts w:hint="eastAsia" w:ascii="宋体" w:hAnsi="宋体" w:eastAsia="宋体" w:cs="宋体"/>
                <w:color w:val="auto"/>
                <w:sz w:val="24"/>
                <w:szCs w:val="24"/>
              </w:rPr>
              <w:t>5wh/kg≤</w:t>
            </w:r>
            <w:r>
              <w:rPr>
                <w:rFonts w:hint="eastAsia" w:ascii="宋体" w:hAnsi="宋体" w:eastAsia="宋体"/>
                <w:color w:val="auto"/>
                <w:sz w:val="24"/>
                <w:szCs w:val="24"/>
              </w:rPr>
              <w:t>电池</w:t>
            </w:r>
            <w:r>
              <w:rPr>
                <w:rFonts w:ascii="宋体" w:hAnsi="宋体" w:eastAsia="宋体"/>
                <w:color w:val="auto"/>
                <w:sz w:val="24"/>
                <w:szCs w:val="24"/>
              </w:rPr>
              <w:t>能量密度</w:t>
            </w:r>
            <w:r>
              <w:rPr>
                <w:rFonts w:hint="eastAsia" w:ascii="宋体" w:hAnsi="宋体" w:eastAsia="宋体"/>
                <w:color w:val="auto"/>
                <w:sz w:val="24"/>
                <w:szCs w:val="24"/>
              </w:rPr>
              <w:t>＜1</w:t>
            </w:r>
            <w:r>
              <w:rPr>
                <w:rFonts w:ascii="宋体" w:hAnsi="宋体" w:eastAsia="宋体"/>
                <w:color w:val="auto"/>
                <w:sz w:val="24"/>
                <w:szCs w:val="24"/>
              </w:rPr>
              <w:t>70</w:t>
            </w:r>
            <w:r>
              <w:rPr>
                <w:rFonts w:hint="eastAsia" w:ascii="宋体" w:hAnsi="宋体" w:eastAsia="宋体" w:cs="宋体"/>
                <w:color w:val="auto"/>
                <w:sz w:val="24"/>
                <w:szCs w:val="24"/>
              </w:rPr>
              <w:t>wh/kg得2分，160wh/k≤</w:t>
            </w:r>
            <w:r>
              <w:rPr>
                <w:rFonts w:hint="eastAsia" w:ascii="宋体" w:hAnsi="宋体" w:eastAsia="宋体"/>
                <w:color w:val="auto"/>
                <w:sz w:val="24"/>
                <w:szCs w:val="24"/>
              </w:rPr>
              <w:t>电池</w:t>
            </w:r>
            <w:r>
              <w:rPr>
                <w:rFonts w:ascii="宋体" w:hAnsi="宋体" w:eastAsia="宋体"/>
                <w:color w:val="auto"/>
                <w:sz w:val="24"/>
                <w:szCs w:val="24"/>
              </w:rPr>
              <w:t>能量密度</w:t>
            </w:r>
            <w:r>
              <w:rPr>
                <w:rFonts w:hint="eastAsia" w:ascii="宋体" w:hAnsi="宋体" w:eastAsia="宋体"/>
                <w:color w:val="auto"/>
                <w:sz w:val="24"/>
                <w:szCs w:val="24"/>
              </w:rPr>
              <w:t>＜1</w:t>
            </w:r>
            <w:r>
              <w:rPr>
                <w:rFonts w:ascii="宋体" w:hAnsi="宋体" w:eastAsia="宋体"/>
                <w:color w:val="auto"/>
                <w:sz w:val="24"/>
                <w:szCs w:val="24"/>
              </w:rPr>
              <w:t>65</w:t>
            </w:r>
            <w:r>
              <w:rPr>
                <w:rFonts w:hint="eastAsia" w:ascii="宋体" w:hAnsi="宋体" w:eastAsia="宋体" w:cs="宋体"/>
                <w:color w:val="auto"/>
                <w:sz w:val="24"/>
                <w:szCs w:val="24"/>
              </w:rPr>
              <w:t>wh/kg得1分</w:t>
            </w:r>
            <w:r>
              <w:rPr>
                <w:rFonts w:ascii="宋体" w:hAnsi="宋体" w:eastAsia="宋体" w:cs="宋体"/>
                <w:color w:val="auto"/>
                <w:sz w:val="24"/>
                <w:szCs w:val="24"/>
              </w:rPr>
              <w:t>，其余不得分。</w:t>
            </w:r>
          </w:p>
          <w:p w14:paraId="4AA9C52D">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rPr>
                <w:rFonts w:hint="eastAsia" w:ascii="宋体" w:hAnsi="宋体" w:eastAsia="宋体" w:cs="宋体"/>
                <w:color w:val="auto"/>
                <w:spacing w:val="-6"/>
                <w:sz w:val="24"/>
                <w:szCs w:val="24"/>
                <w:lang w:val="en-US" w:eastAsia="en-US" w:bidi="ar-SA"/>
              </w:rPr>
            </w:pPr>
            <w:r>
              <w:rPr>
                <w:rFonts w:hint="eastAsia" w:cs="宋体"/>
                <w:color w:val="auto"/>
                <w:sz w:val="24"/>
                <w:szCs w:val="24"/>
                <w:lang w:val="en-US" w:eastAsia="zh-CN"/>
              </w:rPr>
              <w:t>注：</w:t>
            </w:r>
            <w:r>
              <w:rPr>
                <w:rFonts w:hint="eastAsia" w:ascii="宋体" w:hAnsi="宋体" w:eastAsia="宋体" w:cs="宋体"/>
                <w:bCs/>
                <w:color w:val="auto"/>
                <w:kern w:val="0"/>
                <w:sz w:val="24"/>
                <w:szCs w:val="24"/>
                <w:lang w:val="en-US" w:eastAsia="zh-CN" w:bidi="ar-SA"/>
              </w:rPr>
              <w:t>需</w:t>
            </w:r>
            <w:r>
              <w:rPr>
                <w:rFonts w:hint="eastAsia" w:ascii="宋体" w:hAnsi="宋体" w:eastAsia="宋体"/>
                <w:color w:val="auto"/>
                <w:sz w:val="24"/>
                <w:szCs w:val="24"/>
              </w:rPr>
              <w:t>提供</w:t>
            </w:r>
            <w:r>
              <w:rPr>
                <w:rFonts w:hint="eastAsia" w:ascii="宋体" w:hAnsi="宋体" w:eastAsia="宋体"/>
                <w:color w:val="auto"/>
                <w:sz w:val="24"/>
                <w:szCs w:val="24"/>
                <w:lang w:val="en-US" w:eastAsia="zh-CN"/>
              </w:rPr>
              <w:t>动力电池</w:t>
            </w:r>
            <w:r>
              <w:rPr>
                <w:rFonts w:hint="eastAsia" w:ascii="宋体" w:hAnsi="宋体" w:eastAsia="宋体"/>
                <w:color w:val="auto"/>
                <w:sz w:val="24"/>
                <w:szCs w:val="24"/>
              </w:rPr>
              <w:t>国家</w:t>
            </w:r>
            <w:r>
              <w:rPr>
                <w:rFonts w:ascii="宋体" w:hAnsi="宋体" w:eastAsia="宋体"/>
                <w:color w:val="auto"/>
                <w:sz w:val="24"/>
                <w:szCs w:val="24"/>
              </w:rPr>
              <w:t>强检报告</w:t>
            </w:r>
            <w:r>
              <w:rPr>
                <w:rFonts w:hint="eastAsia"/>
                <w:color w:val="auto"/>
                <w:sz w:val="24"/>
                <w:szCs w:val="24"/>
                <w:lang w:eastAsia="zh-CN"/>
              </w:rPr>
              <w:t>并加盖投标人公章</w:t>
            </w:r>
            <w:r>
              <w:rPr>
                <w:rFonts w:ascii="宋体" w:hAnsi="宋体" w:eastAsia="宋体"/>
                <w:color w:val="auto"/>
                <w:sz w:val="24"/>
                <w:szCs w:val="24"/>
              </w:rPr>
              <w:t>，资料未提供或资料不符合要求或提供不全均不得分。</w:t>
            </w:r>
          </w:p>
        </w:tc>
      </w:tr>
      <w:tr w14:paraId="74ECF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1120" w:type="dxa"/>
            <w:shd w:val="clear" w:color="auto" w:fill="auto"/>
            <w:vAlign w:val="center"/>
          </w:tcPr>
          <w:p w14:paraId="05F1C9DC">
            <w:pPr>
              <w:spacing w:line="360" w:lineRule="auto"/>
              <w:ind w:left="0" w:leftChars="0" w:right="0" w:rightChars="0"/>
              <w:jc w:val="left"/>
              <w:textAlignment w:val="center"/>
              <w:rPr>
                <w:rFonts w:hint="eastAsia" w:ascii="宋体" w:hAnsi="宋体" w:eastAsia="宋体" w:cs="宋体"/>
                <w:color w:val="auto"/>
                <w:kern w:val="0"/>
                <w:sz w:val="24"/>
                <w:szCs w:val="24"/>
                <w:lang w:val="en-US" w:eastAsia="en-US" w:bidi="ar-SA"/>
              </w:rPr>
            </w:pPr>
            <w:r>
              <w:rPr>
                <w:rFonts w:hint="eastAsia" w:ascii="宋体" w:hAnsi="宋体" w:eastAsia="宋体" w:cs="宋体"/>
                <w:color w:val="auto"/>
                <w:kern w:val="0"/>
                <w:sz w:val="24"/>
                <w:szCs w:val="24"/>
                <w:lang w:val="en-US" w:eastAsia="zh-CN"/>
              </w:rPr>
              <w:t>3.</w:t>
            </w:r>
            <w:r>
              <w:rPr>
                <w:rFonts w:hint="eastAsia" w:ascii="宋体" w:hAnsi="宋体" w:eastAsia="宋体"/>
                <w:color w:val="auto"/>
                <w:sz w:val="24"/>
                <w:szCs w:val="24"/>
              </w:rPr>
              <w:t>动力电池</w:t>
            </w:r>
          </w:p>
        </w:tc>
        <w:tc>
          <w:tcPr>
            <w:tcW w:w="750" w:type="dxa"/>
            <w:vAlign w:val="center"/>
          </w:tcPr>
          <w:p w14:paraId="5E1A5EE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hint="eastAsia" w:ascii="宋体" w:hAnsi="宋体" w:eastAsia="宋体" w:cs="宋体"/>
                <w:b w:val="0"/>
                <w:bCs/>
                <w:color w:val="auto"/>
                <w:sz w:val="24"/>
                <w:szCs w:val="24"/>
                <w:vertAlign w:val="baseline"/>
                <w:lang w:val="en-US" w:eastAsia="zh-CN"/>
              </w:rPr>
            </w:pPr>
            <w:r>
              <w:rPr>
                <w:rFonts w:hint="eastAsia" w:cs="宋体"/>
                <w:b w:val="0"/>
                <w:bCs/>
                <w:color w:val="auto"/>
                <w:sz w:val="24"/>
                <w:szCs w:val="24"/>
                <w:vertAlign w:val="baseline"/>
                <w:lang w:val="en-US" w:eastAsia="zh-CN"/>
              </w:rPr>
              <w:t>2</w:t>
            </w:r>
          </w:p>
        </w:tc>
        <w:tc>
          <w:tcPr>
            <w:tcW w:w="8151" w:type="dxa"/>
            <w:vAlign w:val="center"/>
          </w:tcPr>
          <w:p w14:paraId="7C3755AD">
            <w:pPr>
              <w:widowControl/>
              <w:spacing w:line="360" w:lineRule="auto"/>
              <w:ind w:left="0" w:leftChars="0" w:right="0" w:rightChars="0"/>
              <w:rPr>
                <w:rFonts w:hint="eastAsia"/>
                <w:color w:val="auto"/>
                <w:sz w:val="24"/>
                <w:szCs w:val="24"/>
                <w:lang w:eastAsia="zh-CN"/>
              </w:rPr>
            </w:pPr>
            <w:r>
              <w:rPr>
                <w:rFonts w:hint="eastAsia" w:ascii="宋体" w:hAnsi="宋体" w:eastAsia="宋体" w:cs="宋体"/>
                <w:color w:val="auto"/>
                <w:spacing w:val="-6"/>
                <w:sz w:val="24"/>
                <w:szCs w:val="24"/>
                <w:highlight w:val="none"/>
                <w:lang w:val="en-US" w:eastAsia="en-US" w:bidi="ar-SA"/>
              </w:rPr>
              <w:t>根据投标人所投</w:t>
            </w:r>
            <w:r>
              <w:rPr>
                <w:rFonts w:hint="eastAsia"/>
                <w:color w:val="auto"/>
                <w:sz w:val="24"/>
                <w:szCs w:val="24"/>
                <w:lang w:eastAsia="zh-CN"/>
              </w:rPr>
              <w:t>车辆</w:t>
            </w:r>
            <w:r>
              <w:rPr>
                <w:rFonts w:hint="eastAsia" w:ascii="宋体" w:hAnsi="宋体" w:eastAsia="宋体"/>
                <w:color w:val="auto"/>
                <w:sz w:val="24"/>
                <w:szCs w:val="24"/>
              </w:rPr>
              <w:t>的电池电芯与电池系统为同一动力电池生产企业的得</w:t>
            </w:r>
            <w:r>
              <w:rPr>
                <w:rFonts w:ascii="宋体" w:hAnsi="宋体" w:eastAsia="宋体"/>
                <w:color w:val="auto"/>
                <w:sz w:val="24"/>
                <w:szCs w:val="24"/>
              </w:rPr>
              <w:t>2分</w:t>
            </w:r>
            <w:r>
              <w:rPr>
                <w:rFonts w:hint="eastAsia"/>
                <w:color w:val="auto"/>
                <w:sz w:val="24"/>
                <w:szCs w:val="24"/>
                <w:lang w:eastAsia="zh-CN"/>
              </w:rPr>
              <w:t>，</w:t>
            </w:r>
            <w:r>
              <w:rPr>
                <w:rFonts w:hint="eastAsia" w:ascii="宋体" w:hAnsi="宋体" w:eastAsia="宋体"/>
                <w:color w:val="auto"/>
                <w:sz w:val="24"/>
                <w:szCs w:val="24"/>
              </w:rPr>
              <w:t>其他的不得分</w:t>
            </w:r>
            <w:r>
              <w:rPr>
                <w:rFonts w:hint="eastAsia"/>
                <w:color w:val="auto"/>
                <w:sz w:val="24"/>
                <w:szCs w:val="24"/>
                <w:lang w:eastAsia="zh-CN"/>
              </w:rPr>
              <w:t>。</w:t>
            </w:r>
          </w:p>
          <w:p w14:paraId="5AA69595">
            <w:pPr>
              <w:widowControl/>
              <w:spacing w:line="360" w:lineRule="auto"/>
              <w:ind w:left="0" w:leftChars="0" w:right="0" w:rightChars="0"/>
              <w:rPr>
                <w:rFonts w:hint="eastAsia" w:ascii="宋体" w:hAnsi="宋体" w:eastAsia="宋体" w:cs="宋体"/>
                <w:color w:val="auto"/>
                <w:spacing w:val="-6"/>
                <w:sz w:val="24"/>
                <w:szCs w:val="24"/>
                <w:lang w:val="en-US" w:eastAsia="en-US" w:bidi="ar-SA"/>
              </w:rPr>
            </w:pPr>
            <w:r>
              <w:rPr>
                <w:rFonts w:hint="eastAsia"/>
                <w:color w:val="auto"/>
                <w:sz w:val="24"/>
                <w:szCs w:val="24"/>
                <w:lang w:val="en-US" w:eastAsia="zh-CN"/>
              </w:rPr>
              <w:t>注：</w:t>
            </w:r>
            <w:r>
              <w:rPr>
                <w:rFonts w:hint="eastAsia" w:ascii="宋体" w:hAnsi="宋体" w:eastAsia="宋体" w:cs="宋体"/>
                <w:bCs/>
                <w:color w:val="auto"/>
                <w:kern w:val="0"/>
                <w:sz w:val="24"/>
                <w:szCs w:val="24"/>
                <w:lang w:val="en-US" w:eastAsia="zh-CN" w:bidi="ar-SA"/>
              </w:rPr>
              <w:t>需</w:t>
            </w:r>
            <w:r>
              <w:rPr>
                <w:rFonts w:hint="eastAsia" w:ascii="宋体" w:hAnsi="宋体" w:eastAsia="宋体"/>
                <w:color w:val="auto"/>
                <w:sz w:val="24"/>
                <w:szCs w:val="24"/>
              </w:rPr>
              <w:t>提供</w:t>
            </w:r>
            <w:r>
              <w:rPr>
                <w:rFonts w:hint="eastAsia" w:ascii="宋体" w:hAnsi="宋体" w:eastAsia="宋体"/>
                <w:color w:val="auto"/>
                <w:sz w:val="24"/>
                <w:szCs w:val="24"/>
                <w:lang w:val="en-US" w:eastAsia="zh-CN"/>
              </w:rPr>
              <w:t>动力电池</w:t>
            </w:r>
            <w:r>
              <w:rPr>
                <w:rFonts w:hint="eastAsia" w:ascii="宋体" w:hAnsi="宋体" w:eastAsia="宋体"/>
                <w:color w:val="auto"/>
                <w:sz w:val="24"/>
                <w:szCs w:val="24"/>
              </w:rPr>
              <w:t>国家</w:t>
            </w:r>
            <w:r>
              <w:rPr>
                <w:rFonts w:ascii="宋体" w:hAnsi="宋体" w:eastAsia="宋体"/>
                <w:color w:val="auto"/>
                <w:sz w:val="24"/>
                <w:szCs w:val="24"/>
              </w:rPr>
              <w:t>强检报告</w:t>
            </w:r>
            <w:r>
              <w:rPr>
                <w:rFonts w:hint="eastAsia"/>
                <w:color w:val="auto"/>
                <w:sz w:val="24"/>
                <w:szCs w:val="24"/>
                <w:lang w:eastAsia="zh-CN"/>
              </w:rPr>
              <w:t>并加盖投标人公章</w:t>
            </w:r>
            <w:r>
              <w:rPr>
                <w:rFonts w:ascii="宋体" w:hAnsi="宋体" w:eastAsia="宋体"/>
                <w:color w:val="auto"/>
                <w:sz w:val="24"/>
                <w:szCs w:val="24"/>
              </w:rPr>
              <w:t>，资料未提供或资料不符合要求或提供不全均不得分。</w:t>
            </w:r>
          </w:p>
        </w:tc>
      </w:tr>
      <w:tr w14:paraId="3D625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0" w:type="dxa"/>
            <w:shd w:val="clear" w:color="auto" w:fill="auto"/>
            <w:vAlign w:val="center"/>
          </w:tcPr>
          <w:p w14:paraId="2062A156">
            <w:pPr>
              <w:spacing w:line="360" w:lineRule="auto"/>
              <w:ind w:left="0" w:leftChars="0" w:right="0" w:rightChars="0"/>
              <w:jc w:val="left"/>
              <w:textAlignment w:val="center"/>
              <w:rPr>
                <w:rFonts w:hint="eastAsia" w:ascii="宋体" w:hAnsi="宋体" w:eastAsia="宋体" w:cs="宋体"/>
                <w:color w:val="auto"/>
                <w:kern w:val="0"/>
                <w:sz w:val="24"/>
                <w:szCs w:val="24"/>
                <w:lang w:val="en-US" w:eastAsia="en-US" w:bidi="ar-SA"/>
              </w:rPr>
            </w:pPr>
            <w:r>
              <w:rPr>
                <w:rFonts w:hint="eastAsia" w:ascii="宋体" w:hAnsi="宋体" w:eastAsia="宋体" w:cs="宋体"/>
                <w:color w:val="auto"/>
                <w:kern w:val="0"/>
                <w:sz w:val="24"/>
                <w:szCs w:val="24"/>
                <w:lang w:val="en-US" w:eastAsia="zh-CN"/>
              </w:rPr>
              <w:t>4.</w:t>
            </w:r>
            <w:r>
              <w:rPr>
                <w:rFonts w:hint="eastAsia" w:ascii="宋体" w:hAnsi="宋体" w:eastAsia="宋体"/>
                <w:color w:val="auto"/>
                <w:sz w:val="24"/>
                <w:szCs w:val="24"/>
              </w:rPr>
              <w:t>车身承载形式</w:t>
            </w:r>
          </w:p>
        </w:tc>
        <w:tc>
          <w:tcPr>
            <w:tcW w:w="750" w:type="dxa"/>
            <w:vAlign w:val="center"/>
          </w:tcPr>
          <w:p w14:paraId="05D4C973">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rPr>
                <w:rFonts w:hint="eastAsia" w:ascii="宋体" w:hAnsi="宋体" w:eastAsia="宋体" w:cs="宋体"/>
                <w:b w:val="0"/>
                <w:bCs/>
                <w:color w:val="auto"/>
                <w:sz w:val="24"/>
                <w:szCs w:val="24"/>
                <w:vertAlign w:val="baseline"/>
                <w:lang w:val="en-US" w:eastAsia="zh-CN"/>
              </w:rPr>
            </w:pPr>
            <w:r>
              <w:rPr>
                <w:rFonts w:hint="eastAsia" w:cs="宋体"/>
                <w:b w:val="0"/>
                <w:bCs/>
                <w:color w:val="auto"/>
                <w:sz w:val="24"/>
                <w:szCs w:val="24"/>
                <w:vertAlign w:val="baseline"/>
                <w:lang w:val="en-US" w:eastAsia="zh-CN"/>
              </w:rPr>
              <w:t>2</w:t>
            </w:r>
          </w:p>
        </w:tc>
        <w:tc>
          <w:tcPr>
            <w:tcW w:w="8151" w:type="dxa"/>
            <w:vAlign w:val="center"/>
          </w:tcPr>
          <w:p w14:paraId="5F1707EE">
            <w:pPr>
              <w:spacing w:line="360" w:lineRule="auto"/>
              <w:ind w:left="0" w:leftChars="0" w:right="0" w:rightChars="0"/>
              <w:rPr>
                <w:rFonts w:hint="eastAsia" w:ascii="宋体" w:hAnsi="宋体" w:eastAsia="宋体"/>
                <w:color w:val="auto"/>
                <w:sz w:val="24"/>
                <w:szCs w:val="24"/>
              </w:rPr>
            </w:pPr>
            <w:r>
              <w:rPr>
                <w:rFonts w:hint="eastAsia" w:ascii="宋体" w:hAnsi="宋体" w:eastAsia="宋体" w:cs="宋体"/>
                <w:color w:val="auto"/>
                <w:spacing w:val="-6"/>
                <w:sz w:val="24"/>
                <w:szCs w:val="24"/>
                <w:highlight w:val="none"/>
                <w:lang w:val="en-US" w:eastAsia="en-US" w:bidi="ar-SA"/>
              </w:rPr>
              <w:t>根据投标人所投</w:t>
            </w:r>
            <w:r>
              <w:rPr>
                <w:rFonts w:hint="eastAsia"/>
                <w:color w:val="auto"/>
                <w:sz w:val="24"/>
                <w:szCs w:val="24"/>
                <w:lang w:eastAsia="zh-CN"/>
              </w:rPr>
              <w:t>车辆</w:t>
            </w:r>
            <w:r>
              <w:rPr>
                <w:rFonts w:hint="eastAsia" w:ascii="宋体" w:hAnsi="宋体" w:eastAsia="宋体"/>
                <w:color w:val="auto"/>
                <w:sz w:val="24"/>
                <w:szCs w:val="24"/>
              </w:rPr>
              <w:t>采用承载式车身结构的得2分，不采用不得分。</w:t>
            </w:r>
          </w:p>
          <w:p w14:paraId="4DC08193">
            <w:pPr>
              <w:spacing w:line="360" w:lineRule="auto"/>
              <w:ind w:left="0" w:leftChars="0" w:right="0" w:rightChars="0"/>
              <w:rPr>
                <w:rFonts w:hint="eastAsia" w:ascii="宋体" w:hAnsi="宋体" w:eastAsia="宋体" w:cs="宋体"/>
                <w:color w:val="auto"/>
                <w:spacing w:val="-6"/>
                <w:sz w:val="24"/>
                <w:szCs w:val="24"/>
                <w:lang w:val="en-US" w:eastAsia="en-US" w:bidi="ar-SA"/>
              </w:rPr>
            </w:pPr>
            <w:r>
              <w:rPr>
                <w:rFonts w:hint="eastAsia"/>
                <w:color w:val="auto"/>
                <w:sz w:val="24"/>
                <w:szCs w:val="24"/>
                <w:lang w:val="en-US" w:eastAsia="zh-CN"/>
              </w:rPr>
              <w:t>注：</w:t>
            </w:r>
            <w:r>
              <w:rPr>
                <w:rFonts w:hint="eastAsia" w:ascii="宋体" w:hAnsi="宋体" w:eastAsia="宋体" w:cs="宋体"/>
                <w:bCs/>
                <w:color w:val="auto"/>
                <w:kern w:val="0"/>
                <w:sz w:val="24"/>
                <w:szCs w:val="24"/>
                <w:lang w:val="en-US" w:eastAsia="zh-CN" w:bidi="ar-SA"/>
              </w:rPr>
              <w:t>需</w:t>
            </w:r>
            <w:r>
              <w:rPr>
                <w:rFonts w:hint="eastAsia" w:ascii="宋体" w:hAnsi="宋体" w:eastAsia="宋体"/>
                <w:color w:val="auto"/>
                <w:sz w:val="24"/>
                <w:szCs w:val="24"/>
              </w:rPr>
              <w:t>提</w:t>
            </w:r>
            <w:r>
              <w:rPr>
                <w:rFonts w:hint="eastAsia"/>
                <w:color w:val="auto"/>
                <w:sz w:val="24"/>
                <w:szCs w:val="24"/>
                <w:lang w:val="en-US" w:eastAsia="zh-CN"/>
              </w:rPr>
              <w:t>供工信部颁发的整车公告页面截图</w:t>
            </w:r>
            <w:r>
              <w:rPr>
                <w:rFonts w:hint="eastAsia" w:ascii="宋体" w:hAnsi="宋体" w:eastAsia="宋体"/>
                <w:color w:val="auto"/>
                <w:sz w:val="24"/>
                <w:szCs w:val="24"/>
              </w:rPr>
              <w:t>复印件加盖</w:t>
            </w:r>
            <w:r>
              <w:rPr>
                <w:rFonts w:hint="eastAsia"/>
                <w:color w:val="auto"/>
                <w:sz w:val="24"/>
                <w:szCs w:val="24"/>
                <w:lang w:eastAsia="zh-CN"/>
              </w:rPr>
              <w:t>投标人</w:t>
            </w:r>
            <w:r>
              <w:rPr>
                <w:rFonts w:hint="eastAsia" w:ascii="宋体" w:hAnsi="宋体" w:eastAsia="宋体"/>
                <w:color w:val="auto"/>
                <w:sz w:val="24"/>
                <w:szCs w:val="24"/>
              </w:rPr>
              <w:t>公章</w:t>
            </w:r>
            <w:r>
              <w:rPr>
                <w:rFonts w:hint="eastAsia"/>
                <w:color w:val="auto"/>
                <w:sz w:val="24"/>
                <w:szCs w:val="24"/>
                <w:lang w:eastAsia="zh-CN"/>
              </w:rPr>
              <w:t>，未提供的不得分。</w:t>
            </w:r>
          </w:p>
        </w:tc>
      </w:tr>
    </w:tbl>
    <w:p w14:paraId="1BFCF7EB">
      <w:pPr>
        <w:spacing w:before="96" w:after="17"/>
        <w:ind w:right="0"/>
        <w:jc w:val="left"/>
        <w:rPr>
          <w:rFonts w:hint="eastAsia" w:asciiTheme="minorEastAsia" w:hAnsiTheme="minorEastAsia" w:eastAsiaTheme="minorEastAsia" w:cstheme="minorEastAsia"/>
          <w:b/>
          <w:color w:val="auto"/>
          <w:sz w:val="24"/>
        </w:rPr>
      </w:pPr>
    </w:p>
    <w:p w14:paraId="472AE9F6">
      <w:pPr>
        <w:pStyle w:val="4"/>
        <w:spacing w:before="1"/>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商务项（F3×A3）满分为 </w:t>
      </w:r>
      <w:r>
        <w:rPr>
          <w:rFonts w:hint="eastAsia" w:asciiTheme="minorEastAsia" w:hAnsiTheme="minorEastAsia" w:eastAsiaTheme="minorEastAsia" w:cstheme="minorEastAsia"/>
          <w:color w:val="auto"/>
          <w:lang w:val="en-US" w:eastAsia="zh-CN"/>
        </w:rPr>
        <w:t>15.00</w:t>
      </w:r>
      <w:r>
        <w:rPr>
          <w:rFonts w:hint="eastAsia" w:asciiTheme="minorEastAsia" w:hAnsiTheme="minorEastAsia" w:eastAsiaTheme="minorEastAsia" w:cstheme="minorEastAsia"/>
          <w:color w:val="auto"/>
        </w:rPr>
        <w:t>分</w:t>
      </w:r>
    </w:p>
    <w:tbl>
      <w:tblPr>
        <w:tblStyle w:val="18"/>
        <w:tblW w:w="5000"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157"/>
        <w:gridCol w:w="735"/>
        <w:gridCol w:w="8178"/>
      </w:tblGrid>
      <w:tr w14:paraId="3FAC447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57"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014D9871">
            <w:pPr>
              <w:widowControl/>
              <w:wordWrap w:val="0"/>
              <w:spacing w:line="360" w:lineRule="auto"/>
              <w:jc w:val="center"/>
              <w:rPr>
                <w:rFonts w:hint="eastAsia" w:ascii="宋体" w:hAnsi="宋体" w:eastAsia="宋体" w:cs="宋体"/>
                <w:b/>
                <w:bCs/>
                <w:color w:val="auto"/>
                <w:sz w:val="24"/>
                <w:szCs w:val="24"/>
              </w:rPr>
            </w:pPr>
            <w:r>
              <w:rPr>
                <w:rFonts w:hint="eastAsia" w:ascii="宋体" w:hAnsi="宋体" w:eastAsia="宋体" w:cs="宋体"/>
                <w:b/>
                <w:bCs/>
                <w:color w:val="auto"/>
                <w:kern w:val="0"/>
                <w:sz w:val="24"/>
                <w:szCs w:val="24"/>
              </w:rPr>
              <w:t>项目</w:t>
            </w:r>
          </w:p>
        </w:tc>
        <w:tc>
          <w:tcPr>
            <w:tcW w:w="73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115A669A">
            <w:pPr>
              <w:widowControl/>
              <w:wordWrap w:val="0"/>
              <w:spacing w:line="360" w:lineRule="auto"/>
              <w:jc w:val="center"/>
              <w:rPr>
                <w:rFonts w:hint="eastAsia" w:ascii="宋体" w:hAnsi="宋体" w:eastAsia="宋体" w:cs="宋体"/>
                <w:b/>
                <w:bCs/>
                <w:color w:val="auto"/>
                <w:sz w:val="24"/>
                <w:szCs w:val="24"/>
              </w:rPr>
            </w:pPr>
            <w:r>
              <w:rPr>
                <w:rFonts w:hint="eastAsia" w:ascii="宋体" w:hAnsi="宋体" w:eastAsia="宋体" w:cs="宋体"/>
                <w:b/>
                <w:bCs/>
                <w:color w:val="auto"/>
                <w:kern w:val="0"/>
                <w:sz w:val="24"/>
                <w:szCs w:val="24"/>
              </w:rPr>
              <w:t>分值</w:t>
            </w:r>
          </w:p>
        </w:tc>
        <w:tc>
          <w:tcPr>
            <w:tcW w:w="817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19EE3ADC">
            <w:pPr>
              <w:widowControl/>
              <w:wordWrap w:val="0"/>
              <w:spacing w:line="360" w:lineRule="auto"/>
              <w:jc w:val="center"/>
              <w:rPr>
                <w:rFonts w:hint="eastAsia" w:ascii="宋体" w:hAnsi="宋体" w:eastAsia="宋体" w:cs="宋体"/>
                <w:b/>
                <w:bCs/>
                <w:color w:val="auto"/>
                <w:sz w:val="24"/>
                <w:szCs w:val="24"/>
              </w:rPr>
            </w:pPr>
            <w:r>
              <w:rPr>
                <w:rFonts w:hint="eastAsia" w:ascii="宋体" w:hAnsi="宋体" w:eastAsia="宋体" w:cs="宋体"/>
                <w:b/>
                <w:bCs/>
                <w:color w:val="auto"/>
                <w:kern w:val="0"/>
                <w:sz w:val="24"/>
                <w:szCs w:val="24"/>
              </w:rPr>
              <w:t>描述</w:t>
            </w:r>
          </w:p>
        </w:tc>
      </w:tr>
      <w:tr w14:paraId="762F5E0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57" w:type="dxa"/>
            <w:vMerge w:val="restart"/>
            <w:tcBorders>
              <w:top w:val="single" w:color="000000" w:sz="6" w:space="0"/>
              <w:left w:val="single" w:color="000000" w:sz="6" w:space="0"/>
              <w:right w:val="single" w:color="000000" w:sz="6" w:space="0"/>
            </w:tcBorders>
            <w:shd w:val="clear" w:color="auto" w:fill="auto"/>
            <w:tcMar>
              <w:left w:w="120" w:type="dxa"/>
              <w:right w:w="120" w:type="dxa"/>
            </w:tcMar>
            <w:vAlign w:val="center"/>
          </w:tcPr>
          <w:p w14:paraId="7F8A5B3E">
            <w:pPr>
              <w:widowControl/>
              <w:wordWrap w:val="0"/>
              <w:spacing w:line="360" w:lineRule="auto"/>
              <w:jc w:val="center"/>
              <w:rPr>
                <w:rFonts w:hint="eastAsia" w:ascii="宋体" w:hAnsi="宋体" w:eastAsia="宋体" w:cs="宋体"/>
                <w:color w:val="auto"/>
                <w:sz w:val="24"/>
                <w:szCs w:val="24"/>
              </w:rPr>
            </w:pPr>
            <w:r>
              <w:rPr>
                <w:rFonts w:hint="eastAsia" w:ascii="宋体" w:hAnsi="宋体" w:eastAsia="宋体" w:cs="宋体"/>
                <w:color w:val="auto"/>
                <w:kern w:val="0"/>
                <w:sz w:val="24"/>
                <w:szCs w:val="24"/>
              </w:rPr>
              <w:t>1.</w:t>
            </w:r>
            <w:r>
              <w:rPr>
                <w:rFonts w:hint="eastAsia" w:ascii="宋体" w:hAnsi="宋体" w:eastAsia="宋体"/>
                <w:color w:val="auto"/>
                <w:sz w:val="24"/>
                <w:szCs w:val="24"/>
              </w:rPr>
              <w:t>企业实力</w:t>
            </w:r>
          </w:p>
        </w:tc>
        <w:tc>
          <w:tcPr>
            <w:tcW w:w="73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68F3C735">
            <w:pPr>
              <w:widowControl/>
              <w:wordWrap w:val="0"/>
              <w:spacing w:line="360" w:lineRule="auto"/>
              <w:ind w:left="0" w:leftChars="0" w:right="0" w:rightChars="0"/>
              <w:jc w:val="center"/>
              <w:rPr>
                <w:rFonts w:hint="eastAsia" w:ascii="宋体" w:hAnsi="宋体" w:eastAsia="宋体" w:cs="宋体"/>
                <w:color w:val="auto"/>
                <w:sz w:val="24"/>
                <w:szCs w:val="24"/>
              </w:rPr>
            </w:pPr>
            <w:r>
              <w:rPr>
                <w:rFonts w:hint="eastAsia" w:cs="宋体"/>
                <w:color w:val="auto"/>
                <w:spacing w:val="-6"/>
                <w:sz w:val="24"/>
                <w:szCs w:val="24"/>
                <w:lang w:val="en-US" w:eastAsia="zh-CN" w:bidi="ar-SA"/>
              </w:rPr>
              <w:t>2</w:t>
            </w:r>
          </w:p>
        </w:tc>
        <w:tc>
          <w:tcPr>
            <w:tcW w:w="817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07C1A2C7">
            <w:pPr>
              <w:spacing w:line="360" w:lineRule="auto"/>
              <w:ind w:left="0" w:leftChars="0" w:right="0" w:rightChars="0"/>
              <w:textAlignment w:val="center"/>
              <w:rPr>
                <w:rFonts w:hint="eastAsia" w:ascii="宋体" w:hAnsi="宋体" w:eastAsia="宋体"/>
                <w:color w:val="auto"/>
                <w:sz w:val="24"/>
                <w:szCs w:val="24"/>
              </w:rPr>
            </w:pPr>
            <w:r>
              <w:rPr>
                <w:rFonts w:hint="eastAsia" w:ascii="宋体" w:hAnsi="宋体" w:eastAsia="宋体" w:cs="宋体"/>
                <w:color w:val="auto"/>
                <w:spacing w:val="-6"/>
                <w:sz w:val="24"/>
                <w:szCs w:val="24"/>
                <w:highlight w:val="none"/>
                <w:lang w:val="en-US" w:eastAsia="en-US" w:bidi="ar-SA"/>
              </w:rPr>
              <w:t>根据投标人</w:t>
            </w:r>
            <w:r>
              <w:rPr>
                <w:rFonts w:hint="eastAsia" w:ascii="宋体" w:hAnsi="宋体" w:eastAsia="宋体" w:cs="宋体"/>
                <w:color w:val="auto"/>
                <w:spacing w:val="-6"/>
                <w:sz w:val="24"/>
                <w:szCs w:val="24"/>
                <w:highlight w:val="none"/>
                <w:lang w:val="en-US" w:eastAsia="zh-CN" w:bidi="ar-SA"/>
              </w:rPr>
              <w:t>所</w:t>
            </w:r>
            <w:r>
              <w:rPr>
                <w:rFonts w:hint="eastAsia" w:cs="宋体"/>
                <w:color w:val="auto"/>
                <w:spacing w:val="-6"/>
                <w:sz w:val="24"/>
                <w:szCs w:val="24"/>
                <w:highlight w:val="none"/>
                <w:lang w:val="en-US" w:eastAsia="zh-CN" w:bidi="ar-SA"/>
              </w:rPr>
              <w:t>投</w:t>
            </w:r>
            <w:r>
              <w:rPr>
                <w:rFonts w:hint="eastAsia"/>
                <w:color w:val="auto"/>
                <w:sz w:val="24"/>
                <w:szCs w:val="24"/>
                <w:lang w:val="en-US" w:eastAsia="zh-CN"/>
              </w:rPr>
              <w:t>车辆</w:t>
            </w:r>
            <w:r>
              <w:rPr>
                <w:rFonts w:hint="eastAsia" w:ascii="宋体" w:hAnsi="宋体" w:eastAsia="宋体"/>
                <w:color w:val="auto"/>
                <w:sz w:val="24"/>
                <w:szCs w:val="24"/>
              </w:rPr>
              <w:t>整车制造企业进入《制造业“双创”平台试点示范项目名单》的得</w:t>
            </w:r>
            <w:r>
              <w:rPr>
                <w:rFonts w:hint="eastAsia"/>
                <w:color w:val="auto"/>
                <w:sz w:val="24"/>
                <w:szCs w:val="24"/>
                <w:lang w:val="en-US" w:eastAsia="zh-CN"/>
              </w:rPr>
              <w:t>2</w:t>
            </w:r>
            <w:r>
              <w:rPr>
                <w:rFonts w:hint="eastAsia" w:ascii="宋体" w:hAnsi="宋体" w:eastAsia="宋体"/>
                <w:color w:val="auto"/>
                <w:sz w:val="24"/>
                <w:szCs w:val="24"/>
              </w:rPr>
              <w:t>分，其他不得分。</w:t>
            </w:r>
          </w:p>
          <w:p w14:paraId="23800745">
            <w:pPr>
              <w:spacing w:line="360" w:lineRule="auto"/>
              <w:ind w:left="0" w:leftChars="0" w:right="0" w:rightChars="0"/>
              <w:textAlignment w:val="center"/>
              <w:rPr>
                <w:rFonts w:hint="eastAsia" w:ascii="宋体" w:hAnsi="宋体" w:eastAsia="宋体" w:cs="宋体"/>
                <w:color w:val="auto"/>
                <w:sz w:val="24"/>
                <w:szCs w:val="24"/>
              </w:rPr>
            </w:pPr>
            <w:r>
              <w:rPr>
                <w:rFonts w:hint="eastAsia"/>
                <w:color w:val="auto"/>
                <w:sz w:val="24"/>
                <w:szCs w:val="24"/>
                <w:lang w:val="en-US" w:eastAsia="zh-CN"/>
              </w:rPr>
              <w:t>注：</w:t>
            </w:r>
            <w:r>
              <w:rPr>
                <w:rFonts w:hint="eastAsia" w:ascii="宋体" w:hAnsi="宋体" w:eastAsia="宋体" w:cs="宋体"/>
                <w:bCs/>
                <w:color w:val="auto"/>
                <w:kern w:val="0"/>
                <w:sz w:val="24"/>
                <w:szCs w:val="24"/>
                <w:lang w:val="en-US" w:eastAsia="zh-CN" w:bidi="ar-SA"/>
              </w:rPr>
              <w:t>需</w:t>
            </w:r>
            <w:r>
              <w:rPr>
                <w:rFonts w:hint="eastAsia" w:ascii="宋体" w:hAnsi="宋体" w:eastAsia="宋体"/>
                <w:color w:val="auto"/>
                <w:sz w:val="24"/>
                <w:szCs w:val="24"/>
              </w:rPr>
              <w:t>提供工信部发布的相关证明材料复印件加盖</w:t>
            </w:r>
            <w:r>
              <w:rPr>
                <w:rFonts w:hint="eastAsia"/>
                <w:color w:val="auto"/>
                <w:sz w:val="24"/>
                <w:szCs w:val="24"/>
                <w:lang w:eastAsia="zh-CN"/>
              </w:rPr>
              <w:t>投标人</w:t>
            </w:r>
            <w:r>
              <w:rPr>
                <w:rFonts w:hint="eastAsia" w:ascii="宋体" w:hAnsi="宋体" w:eastAsia="宋体"/>
                <w:color w:val="auto"/>
                <w:sz w:val="24"/>
                <w:szCs w:val="24"/>
              </w:rPr>
              <w:t>公章</w:t>
            </w:r>
            <w:r>
              <w:rPr>
                <w:rFonts w:hint="eastAsia"/>
                <w:color w:val="auto"/>
                <w:sz w:val="24"/>
                <w:szCs w:val="24"/>
                <w:lang w:eastAsia="zh-CN"/>
              </w:rPr>
              <w:t>，未提供的不得分。</w:t>
            </w:r>
          </w:p>
        </w:tc>
      </w:tr>
      <w:tr w14:paraId="7F4F041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57" w:type="dxa"/>
            <w:vMerge w:val="continue"/>
            <w:tcBorders>
              <w:left w:val="single" w:color="000000" w:sz="6" w:space="0"/>
              <w:right w:val="single" w:color="000000" w:sz="6" w:space="0"/>
            </w:tcBorders>
            <w:shd w:val="clear" w:color="auto" w:fill="auto"/>
            <w:tcMar>
              <w:left w:w="120" w:type="dxa"/>
              <w:right w:w="120" w:type="dxa"/>
            </w:tcMar>
            <w:vAlign w:val="center"/>
          </w:tcPr>
          <w:p w14:paraId="577E3220">
            <w:pPr>
              <w:widowControl/>
              <w:wordWrap w:val="0"/>
              <w:spacing w:line="360" w:lineRule="auto"/>
              <w:jc w:val="center"/>
              <w:rPr>
                <w:rFonts w:hint="eastAsia" w:ascii="宋体" w:hAnsi="宋体" w:eastAsia="宋体" w:cs="宋体"/>
                <w:color w:val="auto"/>
                <w:kern w:val="0"/>
                <w:sz w:val="24"/>
                <w:szCs w:val="24"/>
              </w:rPr>
            </w:pPr>
          </w:p>
        </w:tc>
        <w:tc>
          <w:tcPr>
            <w:tcW w:w="73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1CB2467A">
            <w:pPr>
              <w:widowControl/>
              <w:wordWrap w:val="0"/>
              <w:spacing w:line="360" w:lineRule="auto"/>
              <w:ind w:left="0" w:leftChars="0" w:right="0" w:rightChars="0"/>
              <w:jc w:val="center"/>
              <w:rPr>
                <w:rFonts w:hint="eastAsia" w:ascii="宋体" w:hAnsi="宋体" w:eastAsia="宋体" w:cs="宋体"/>
                <w:color w:val="auto"/>
                <w:spacing w:val="-6"/>
                <w:sz w:val="24"/>
                <w:szCs w:val="24"/>
                <w:lang w:val="en-US" w:eastAsia="zh-CN" w:bidi="ar-SA"/>
              </w:rPr>
            </w:pPr>
            <w:r>
              <w:rPr>
                <w:rFonts w:hint="eastAsia" w:cs="宋体"/>
                <w:color w:val="auto"/>
                <w:spacing w:val="-6"/>
                <w:sz w:val="24"/>
                <w:szCs w:val="24"/>
                <w:lang w:val="en-US" w:eastAsia="zh-CN" w:bidi="ar-SA"/>
              </w:rPr>
              <w:t>2</w:t>
            </w:r>
          </w:p>
        </w:tc>
        <w:tc>
          <w:tcPr>
            <w:tcW w:w="817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4E4FB43F">
            <w:pPr>
              <w:spacing w:line="360" w:lineRule="auto"/>
              <w:ind w:left="0" w:leftChars="0" w:right="0" w:rightChars="0"/>
              <w:textAlignment w:val="center"/>
              <w:rPr>
                <w:rFonts w:hint="eastAsia" w:ascii="宋体" w:hAnsi="宋体" w:eastAsia="宋体"/>
                <w:color w:val="auto"/>
                <w:sz w:val="24"/>
                <w:szCs w:val="24"/>
              </w:rPr>
            </w:pPr>
            <w:r>
              <w:rPr>
                <w:rFonts w:hint="eastAsia" w:ascii="宋体" w:hAnsi="宋体" w:eastAsia="宋体" w:cs="宋体"/>
                <w:color w:val="auto"/>
                <w:spacing w:val="-6"/>
                <w:sz w:val="24"/>
                <w:szCs w:val="24"/>
                <w:highlight w:val="none"/>
                <w:lang w:val="en-US" w:eastAsia="en-US" w:bidi="ar-SA"/>
              </w:rPr>
              <w:t>根据投标人</w:t>
            </w:r>
            <w:r>
              <w:rPr>
                <w:rFonts w:hint="eastAsia" w:ascii="宋体" w:hAnsi="宋体" w:eastAsia="宋体" w:cs="宋体"/>
                <w:color w:val="auto"/>
                <w:spacing w:val="-6"/>
                <w:sz w:val="24"/>
                <w:szCs w:val="24"/>
                <w:highlight w:val="none"/>
                <w:lang w:val="en-US" w:eastAsia="zh-CN" w:bidi="ar-SA"/>
              </w:rPr>
              <w:t>所</w:t>
            </w:r>
            <w:r>
              <w:rPr>
                <w:rFonts w:hint="eastAsia" w:cs="宋体"/>
                <w:color w:val="auto"/>
                <w:spacing w:val="-6"/>
                <w:sz w:val="24"/>
                <w:szCs w:val="24"/>
                <w:highlight w:val="none"/>
                <w:lang w:val="en-US" w:eastAsia="zh-CN" w:bidi="ar-SA"/>
              </w:rPr>
              <w:t>投</w:t>
            </w:r>
            <w:r>
              <w:rPr>
                <w:rFonts w:hint="eastAsia" w:ascii="宋体" w:hAnsi="宋体" w:eastAsia="宋体"/>
                <w:color w:val="auto"/>
                <w:sz w:val="24"/>
                <w:szCs w:val="24"/>
              </w:rPr>
              <w:t>客车整车制造企业2</w:t>
            </w:r>
            <w:r>
              <w:rPr>
                <w:rFonts w:ascii="宋体" w:hAnsi="宋体" w:eastAsia="宋体"/>
                <w:color w:val="auto"/>
                <w:sz w:val="24"/>
                <w:szCs w:val="24"/>
              </w:rPr>
              <w:t>019</w:t>
            </w:r>
            <w:r>
              <w:rPr>
                <w:rFonts w:hint="eastAsia" w:ascii="宋体" w:hAnsi="宋体" w:eastAsia="宋体"/>
                <w:color w:val="auto"/>
                <w:sz w:val="24"/>
                <w:szCs w:val="24"/>
              </w:rPr>
              <w:t>年以来进入《制造业与互联网融合发展试点示范项目名单》的得</w:t>
            </w:r>
            <w:r>
              <w:rPr>
                <w:rFonts w:hint="eastAsia"/>
                <w:color w:val="auto"/>
                <w:sz w:val="24"/>
                <w:szCs w:val="24"/>
                <w:lang w:val="en-US" w:eastAsia="zh-CN"/>
              </w:rPr>
              <w:t>2</w:t>
            </w:r>
            <w:r>
              <w:rPr>
                <w:rFonts w:hint="eastAsia" w:ascii="宋体" w:hAnsi="宋体" w:eastAsia="宋体"/>
                <w:color w:val="auto"/>
                <w:sz w:val="24"/>
                <w:szCs w:val="24"/>
              </w:rPr>
              <w:t>分，其他不得分。</w:t>
            </w:r>
          </w:p>
          <w:p w14:paraId="6DF85E11">
            <w:pPr>
              <w:spacing w:line="360" w:lineRule="auto"/>
              <w:ind w:left="0" w:leftChars="0" w:right="0" w:rightChars="0"/>
              <w:textAlignment w:val="center"/>
              <w:rPr>
                <w:rFonts w:hint="eastAsia" w:ascii="宋体" w:hAnsi="宋体" w:eastAsia="宋体" w:cs="宋体"/>
                <w:color w:val="auto"/>
                <w:kern w:val="0"/>
                <w:sz w:val="24"/>
                <w:szCs w:val="24"/>
                <w:lang w:val="en-US" w:eastAsia="en-US" w:bidi="ar-SA"/>
              </w:rPr>
            </w:pPr>
            <w:r>
              <w:rPr>
                <w:rFonts w:hint="eastAsia"/>
                <w:color w:val="auto"/>
                <w:sz w:val="24"/>
                <w:szCs w:val="24"/>
                <w:lang w:val="en-US" w:eastAsia="zh-CN"/>
              </w:rPr>
              <w:t>注：需</w:t>
            </w:r>
            <w:r>
              <w:rPr>
                <w:rFonts w:hint="eastAsia" w:ascii="宋体" w:hAnsi="宋体" w:eastAsia="宋体"/>
                <w:color w:val="auto"/>
                <w:sz w:val="24"/>
                <w:szCs w:val="24"/>
              </w:rPr>
              <w:t>提供工信部发布的相关证明材料复印件加盖</w:t>
            </w:r>
            <w:r>
              <w:rPr>
                <w:rFonts w:hint="eastAsia"/>
                <w:color w:val="auto"/>
                <w:sz w:val="24"/>
                <w:szCs w:val="24"/>
                <w:lang w:eastAsia="zh-CN"/>
              </w:rPr>
              <w:t>投标人</w:t>
            </w:r>
            <w:r>
              <w:rPr>
                <w:rFonts w:hint="eastAsia" w:ascii="宋体" w:hAnsi="宋体" w:eastAsia="宋体"/>
                <w:color w:val="auto"/>
                <w:sz w:val="24"/>
                <w:szCs w:val="24"/>
              </w:rPr>
              <w:t>公章</w:t>
            </w:r>
            <w:r>
              <w:rPr>
                <w:rFonts w:hint="eastAsia"/>
                <w:color w:val="auto"/>
                <w:sz w:val="24"/>
                <w:szCs w:val="24"/>
                <w:lang w:eastAsia="zh-CN"/>
              </w:rPr>
              <w:t>，未提供的不得分。</w:t>
            </w:r>
          </w:p>
        </w:tc>
      </w:tr>
      <w:tr w14:paraId="5D6D4FA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57" w:type="dxa"/>
            <w:vMerge w:val="continue"/>
            <w:tcBorders>
              <w:left w:val="single" w:color="000000" w:sz="6" w:space="0"/>
              <w:right w:val="single" w:color="000000" w:sz="6" w:space="0"/>
            </w:tcBorders>
            <w:shd w:val="clear" w:color="auto" w:fill="auto"/>
            <w:tcMar>
              <w:left w:w="120" w:type="dxa"/>
              <w:right w:w="120" w:type="dxa"/>
            </w:tcMar>
            <w:vAlign w:val="center"/>
          </w:tcPr>
          <w:p w14:paraId="0727833E">
            <w:pPr>
              <w:widowControl/>
              <w:wordWrap w:val="0"/>
              <w:spacing w:line="360" w:lineRule="auto"/>
              <w:jc w:val="center"/>
              <w:rPr>
                <w:rFonts w:hint="eastAsia" w:ascii="宋体" w:hAnsi="宋体" w:eastAsia="宋体" w:cs="宋体"/>
                <w:color w:val="auto"/>
                <w:kern w:val="0"/>
                <w:sz w:val="24"/>
                <w:szCs w:val="24"/>
              </w:rPr>
            </w:pPr>
          </w:p>
        </w:tc>
        <w:tc>
          <w:tcPr>
            <w:tcW w:w="73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7AB97017">
            <w:pPr>
              <w:widowControl/>
              <w:wordWrap w:val="0"/>
              <w:spacing w:line="360" w:lineRule="auto"/>
              <w:ind w:left="0" w:leftChars="0" w:right="0" w:rightChars="0"/>
              <w:jc w:val="center"/>
              <w:rPr>
                <w:rFonts w:hint="default" w:ascii="宋体" w:hAnsi="宋体" w:eastAsia="宋体" w:cs="宋体"/>
                <w:color w:val="auto"/>
                <w:spacing w:val="-6"/>
                <w:sz w:val="24"/>
                <w:szCs w:val="24"/>
                <w:lang w:val="en-US" w:eastAsia="zh-CN" w:bidi="ar-SA"/>
              </w:rPr>
            </w:pPr>
            <w:r>
              <w:rPr>
                <w:rFonts w:hint="eastAsia" w:cs="宋体"/>
                <w:color w:val="auto"/>
                <w:spacing w:val="-6"/>
                <w:sz w:val="24"/>
                <w:szCs w:val="24"/>
                <w:lang w:val="en-US" w:eastAsia="zh-CN" w:bidi="ar-SA"/>
              </w:rPr>
              <w:t>2</w:t>
            </w:r>
          </w:p>
        </w:tc>
        <w:tc>
          <w:tcPr>
            <w:tcW w:w="817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6BA206D8">
            <w:pPr>
              <w:spacing w:line="360" w:lineRule="auto"/>
              <w:ind w:left="0" w:leftChars="0" w:right="0" w:rightChars="0"/>
              <w:textAlignment w:val="center"/>
              <w:rPr>
                <w:rFonts w:ascii="宋体" w:hAnsi="宋体" w:eastAsia="宋体"/>
                <w:color w:val="auto"/>
                <w:sz w:val="24"/>
                <w:szCs w:val="24"/>
              </w:rPr>
            </w:pPr>
            <w:r>
              <w:rPr>
                <w:rFonts w:hint="eastAsia" w:ascii="宋体" w:hAnsi="宋体" w:eastAsia="宋体" w:cs="宋体"/>
                <w:color w:val="auto"/>
                <w:spacing w:val="-6"/>
                <w:sz w:val="24"/>
                <w:szCs w:val="24"/>
                <w:highlight w:val="none"/>
                <w:lang w:val="en-US" w:eastAsia="en-US" w:bidi="ar-SA"/>
              </w:rPr>
              <w:t>根据投标人</w:t>
            </w:r>
            <w:r>
              <w:rPr>
                <w:rFonts w:hint="eastAsia" w:ascii="宋体" w:hAnsi="宋体" w:eastAsia="宋体" w:cs="宋体"/>
                <w:color w:val="auto"/>
                <w:spacing w:val="-6"/>
                <w:sz w:val="24"/>
                <w:szCs w:val="24"/>
                <w:highlight w:val="none"/>
                <w:lang w:val="en-US" w:eastAsia="zh-CN" w:bidi="ar-SA"/>
              </w:rPr>
              <w:t>所</w:t>
            </w:r>
            <w:r>
              <w:rPr>
                <w:rFonts w:hint="eastAsia" w:cs="宋体"/>
                <w:color w:val="auto"/>
                <w:spacing w:val="-6"/>
                <w:sz w:val="24"/>
                <w:szCs w:val="24"/>
                <w:highlight w:val="none"/>
                <w:lang w:val="en-US" w:eastAsia="zh-CN" w:bidi="ar-SA"/>
              </w:rPr>
              <w:t>投</w:t>
            </w:r>
            <w:r>
              <w:rPr>
                <w:rFonts w:hint="eastAsia" w:ascii="宋体" w:hAnsi="宋体" w:eastAsia="宋体"/>
                <w:color w:val="auto"/>
                <w:sz w:val="24"/>
                <w:szCs w:val="24"/>
              </w:rPr>
              <w:t>客车整车制造企业进入工信部《智能制造标准应用试点项目名单》的</w:t>
            </w:r>
            <w:r>
              <w:rPr>
                <w:rFonts w:ascii="宋体" w:hAnsi="宋体" w:eastAsia="宋体"/>
                <w:color w:val="auto"/>
                <w:sz w:val="24"/>
                <w:szCs w:val="24"/>
              </w:rPr>
              <w:t>得</w:t>
            </w:r>
            <w:r>
              <w:rPr>
                <w:rFonts w:hint="eastAsia"/>
                <w:color w:val="auto"/>
                <w:sz w:val="24"/>
                <w:szCs w:val="24"/>
                <w:lang w:val="en-US" w:eastAsia="zh-CN"/>
              </w:rPr>
              <w:t>2</w:t>
            </w:r>
            <w:r>
              <w:rPr>
                <w:rFonts w:hint="eastAsia" w:ascii="宋体" w:hAnsi="宋体" w:eastAsia="宋体"/>
                <w:color w:val="auto"/>
                <w:sz w:val="24"/>
                <w:szCs w:val="24"/>
              </w:rPr>
              <w:t>分</w:t>
            </w:r>
            <w:r>
              <w:rPr>
                <w:rFonts w:ascii="宋体" w:hAnsi="宋体" w:eastAsia="宋体"/>
                <w:color w:val="auto"/>
                <w:sz w:val="24"/>
                <w:szCs w:val="24"/>
              </w:rPr>
              <w:t>，其他不得分。</w:t>
            </w:r>
          </w:p>
          <w:p w14:paraId="2AEFE2F8">
            <w:pPr>
              <w:spacing w:line="360" w:lineRule="auto"/>
              <w:ind w:left="0" w:leftChars="0" w:right="0" w:rightChars="0"/>
              <w:textAlignment w:val="center"/>
              <w:rPr>
                <w:rFonts w:hint="eastAsia"/>
                <w:color w:val="auto"/>
                <w:sz w:val="24"/>
                <w:szCs w:val="24"/>
              </w:rPr>
            </w:pPr>
            <w:r>
              <w:rPr>
                <w:rFonts w:hint="eastAsia"/>
                <w:color w:val="auto"/>
                <w:sz w:val="24"/>
                <w:szCs w:val="24"/>
                <w:lang w:val="en-US" w:eastAsia="zh-CN"/>
              </w:rPr>
              <w:t>注：需</w:t>
            </w:r>
            <w:r>
              <w:rPr>
                <w:rFonts w:hint="eastAsia" w:ascii="宋体" w:hAnsi="宋体" w:eastAsia="宋体"/>
                <w:color w:val="auto"/>
                <w:sz w:val="24"/>
                <w:szCs w:val="24"/>
              </w:rPr>
              <w:t>提供相关工信部证明材料复印件加盖公章</w:t>
            </w:r>
            <w:r>
              <w:rPr>
                <w:rFonts w:hint="eastAsia"/>
                <w:color w:val="auto"/>
                <w:sz w:val="24"/>
                <w:szCs w:val="24"/>
                <w:lang w:eastAsia="zh-CN"/>
              </w:rPr>
              <w:t>，未提供的不得分。</w:t>
            </w:r>
          </w:p>
        </w:tc>
      </w:tr>
      <w:tr w14:paraId="00D30E9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57" w:type="dxa"/>
            <w:vMerge w:val="continue"/>
            <w:tcBorders>
              <w:left w:val="single" w:color="000000" w:sz="6" w:space="0"/>
              <w:right w:val="single" w:color="000000" w:sz="6" w:space="0"/>
            </w:tcBorders>
            <w:shd w:val="clear" w:color="auto" w:fill="auto"/>
            <w:tcMar>
              <w:left w:w="120" w:type="dxa"/>
              <w:right w:w="120" w:type="dxa"/>
            </w:tcMar>
            <w:vAlign w:val="center"/>
          </w:tcPr>
          <w:p w14:paraId="442FCD41">
            <w:pPr>
              <w:widowControl/>
              <w:wordWrap w:val="0"/>
              <w:spacing w:line="360" w:lineRule="auto"/>
              <w:jc w:val="center"/>
              <w:rPr>
                <w:rFonts w:hint="eastAsia" w:ascii="宋体" w:hAnsi="宋体" w:eastAsia="宋体" w:cs="宋体"/>
                <w:color w:val="auto"/>
                <w:kern w:val="0"/>
                <w:sz w:val="24"/>
                <w:szCs w:val="24"/>
              </w:rPr>
            </w:pPr>
          </w:p>
        </w:tc>
        <w:tc>
          <w:tcPr>
            <w:tcW w:w="73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6ED31F48">
            <w:pPr>
              <w:widowControl/>
              <w:wordWrap w:val="0"/>
              <w:spacing w:line="360" w:lineRule="auto"/>
              <w:ind w:left="0" w:leftChars="0" w:right="0" w:rightChars="0"/>
              <w:jc w:val="center"/>
              <w:rPr>
                <w:rFonts w:hint="default" w:ascii="宋体" w:hAnsi="宋体" w:eastAsia="宋体" w:cs="宋体"/>
                <w:color w:val="auto"/>
                <w:spacing w:val="-6"/>
                <w:sz w:val="24"/>
                <w:szCs w:val="24"/>
                <w:lang w:val="en-US" w:eastAsia="zh-CN" w:bidi="ar-SA"/>
              </w:rPr>
            </w:pPr>
            <w:r>
              <w:rPr>
                <w:rFonts w:hint="eastAsia" w:cs="宋体"/>
                <w:color w:val="auto"/>
                <w:spacing w:val="-6"/>
                <w:sz w:val="24"/>
                <w:szCs w:val="24"/>
                <w:lang w:val="en-US" w:eastAsia="zh-CN" w:bidi="ar-SA"/>
              </w:rPr>
              <w:t>1</w:t>
            </w:r>
          </w:p>
        </w:tc>
        <w:tc>
          <w:tcPr>
            <w:tcW w:w="817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016B99B3">
            <w:pPr>
              <w:spacing w:line="360" w:lineRule="auto"/>
              <w:rPr>
                <w:rFonts w:hint="eastAsia"/>
                <w:color w:val="auto"/>
                <w:sz w:val="24"/>
                <w:szCs w:val="24"/>
                <w:lang w:eastAsia="zh-CN"/>
              </w:rPr>
            </w:pPr>
            <w:r>
              <w:rPr>
                <w:rFonts w:hint="eastAsia" w:ascii="宋体" w:hAnsi="宋体" w:eastAsia="宋体" w:cs="宋体"/>
                <w:color w:val="auto"/>
                <w:spacing w:val="-6"/>
                <w:sz w:val="24"/>
                <w:szCs w:val="24"/>
                <w:highlight w:val="none"/>
                <w:lang w:val="en-US" w:eastAsia="en-US" w:bidi="ar-SA"/>
              </w:rPr>
              <w:t>根据投标人</w:t>
            </w:r>
            <w:r>
              <w:rPr>
                <w:rFonts w:hint="eastAsia" w:ascii="宋体" w:hAnsi="宋体" w:eastAsia="宋体" w:cs="宋体"/>
                <w:color w:val="auto"/>
                <w:spacing w:val="-6"/>
                <w:sz w:val="24"/>
                <w:szCs w:val="24"/>
                <w:highlight w:val="none"/>
                <w:lang w:val="en-US" w:eastAsia="zh-CN" w:bidi="ar-SA"/>
              </w:rPr>
              <w:t>所</w:t>
            </w:r>
            <w:r>
              <w:rPr>
                <w:rFonts w:hint="eastAsia" w:cs="宋体"/>
                <w:color w:val="auto"/>
                <w:spacing w:val="-6"/>
                <w:sz w:val="24"/>
                <w:szCs w:val="24"/>
                <w:highlight w:val="none"/>
                <w:lang w:val="en-US" w:eastAsia="zh-CN" w:bidi="ar-SA"/>
              </w:rPr>
              <w:t>投</w:t>
            </w:r>
            <w:r>
              <w:rPr>
                <w:rFonts w:hint="eastAsia"/>
                <w:color w:val="auto"/>
                <w:sz w:val="24"/>
                <w:szCs w:val="24"/>
                <w:lang w:val="en-US" w:eastAsia="zh-CN"/>
              </w:rPr>
              <w:t>车辆的</w:t>
            </w:r>
            <w:r>
              <w:rPr>
                <w:rFonts w:hint="eastAsia" w:ascii="宋体" w:hAnsi="宋体" w:eastAsia="宋体"/>
                <w:color w:val="auto"/>
                <w:sz w:val="24"/>
                <w:szCs w:val="24"/>
              </w:rPr>
              <w:t>制造企业获得两化融合管理体系评定认证的且在有效期内得</w:t>
            </w:r>
            <w:r>
              <w:rPr>
                <w:rFonts w:hint="eastAsia"/>
                <w:color w:val="auto"/>
                <w:sz w:val="24"/>
                <w:szCs w:val="24"/>
                <w:lang w:val="en-US" w:eastAsia="zh-CN"/>
              </w:rPr>
              <w:t>1</w:t>
            </w:r>
            <w:r>
              <w:rPr>
                <w:rFonts w:hint="eastAsia" w:ascii="宋体" w:hAnsi="宋体" w:eastAsia="宋体"/>
                <w:color w:val="auto"/>
                <w:sz w:val="24"/>
                <w:szCs w:val="24"/>
              </w:rPr>
              <w:t>分, 其他不得分</w:t>
            </w:r>
            <w:r>
              <w:rPr>
                <w:rFonts w:hint="eastAsia"/>
                <w:color w:val="auto"/>
                <w:sz w:val="24"/>
                <w:szCs w:val="24"/>
                <w:lang w:eastAsia="zh-CN"/>
              </w:rPr>
              <w:t>。</w:t>
            </w:r>
          </w:p>
          <w:p w14:paraId="52B00C7A">
            <w:pPr>
              <w:spacing w:line="360" w:lineRule="auto"/>
              <w:rPr>
                <w:rFonts w:ascii="宋体" w:hAnsi="宋体" w:eastAsia="宋体" w:cs="宋体"/>
                <w:color w:val="auto"/>
                <w:sz w:val="24"/>
                <w:szCs w:val="24"/>
              </w:rPr>
            </w:pPr>
            <w:r>
              <w:rPr>
                <w:rFonts w:hint="eastAsia"/>
                <w:color w:val="auto"/>
                <w:sz w:val="24"/>
                <w:szCs w:val="24"/>
                <w:lang w:val="en-US" w:eastAsia="zh-CN"/>
              </w:rPr>
              <w:t>注：需提供</w:t>
            </w:r>
            <w:r>
              <w:rPr>
                <w:rFonts w:hint="eastAsia" w:ascii="宋体" w:hAnsi="宋体" w:eastAsia="宋体"/>
                <w:color w:val="auto"/>
                <w:sz w:val="24"/>
                <w:szCs w:val="24"/>
              </w:rPr>
              <w:t>（以两化融合管理体系评定管理平台</w:t>
            </w:r>
            <w:r>
              <w:rPr>
                <w:rFonts w:hint="eastAsia"/>
                <w:color w:val="auto"/>
                <w:sz w:val="24"/>
                <w:szCs w:val="24"/>
                <w:lang w:eastAsia="zh-CN"/>
              </w:rPr>
              <w:t>（</w:t>
            </w:r>
            <w:r>
              <w:rPr>
                <w:rFonts w:ascii="宋体" w:hAnsi="宋体" w:eastAsia="宋体" w:cs="宋体"/>
                <w:color w:val="auto"/>
                <w:sz w:val="24"/>
                <w:szCs w:val="24"/>
              </w:rPr>
              <w:t>https://pd.dlttx.com/portal/index.html#/dashboard</w:t>
            </w:r>
            <w:r>
              <w:rPr>
                <w:rFonts w:hint="eastAsia"/>
                <w:color w:val="auto"/>
                <w:sz w:val="24"/>
                <w:szCs w:val="24"/>
                <w:lang w:eastAsia="zh-CN"/>
              </w:rPr>
              <w:t>）</w:t>
            </w:r>
          </w:p>
          <w:p w14:paraId="0124B535">
            <w:pPr>
              <w:spacing w:line="360" w:lineRule="auto"/>
              <w:ind w:left="0" w:leftChars="0" w:right="0" w:rightChars="0"/>
              <w:textAlignment w:val="center"/>
              <w:rPr>
                <w:rFonts w:hint="eastAsia"/>
                <w:color w:val="auto"/>
                <w:sz w:val="24"/>
                <w:szCs w:val="24"/>
              </w:rPr>
            </w:pPr>
            <w:r>
              <w:rPr>
                <w:rFonts w:hint="eastAsia" w:ascii="宋体" w:hAnsi="宋体" w:eastAsia="宋体"/>
                <w:color w:val="auto"/>
                <w:sz w:val="24"/>
                <w:szCs w:val="24"/>
              </w:rPr>
              <w:t>查询截图及证书复印件</w:t>
            </w:r>
            <w:r>
              <w:rPr>
                <w:rFonts w:hint="eastAsia"/>
                <w:color w:val="auto"/>
                <w:sz w:val="24"/>
                <w:szCs w:val="24"/>
                <w:lang w:eastAsia="zh-CN"/>
              </w:rPr>
              <w:t>，</w:t>
            </w:r>
            <w:r>
              <w:rPr>
                <w:rFonts w:hint="eastAsia" w:ascii="宋体" w:hAnsi="宋体" w:eastAsia="宋体"/>
                <w:color w:val="auto"/>
                <w:sz w:val="24"/>
                <w:szCs w:val="24"/>
              </w:rPr>
              <w:t>加盖</w:t>
            </w:r>
            <w:r>
              <w:rPr>
                <w:rFonts w:hint="eastAsia"/>
                <w:color w:val="auto"/>
                <w:sz w:val="24"/>
                <w:szCs w:val="24"/>
                <w:lang w:eastAsia="zh-CN"/>
              </w:rPr>
              <w:t>投标人</w:t>
            </w:r>
            <w:r>
              <w:rPr>
                <w:rFonts w:hint="eastAsia" w:ascii="宋体" w:hAnsi="宋体" w:eastAsia="宋体"/>
                <w:color w:val="auto"/>
                <w:sz w:val="24"/>
                <w:szCs w:val="24"/>
              </w:rPr>
              <w:t>公章</w:t>
            </w:r>
            <w:r>
              <w:rPr>
                <w:rFonts w:hint="eastAsia"/>
                <w:color w:val="auto"/>
                <w:sz w:val="24"/>
                <w:szCs w:val="24"/>
                <w:lang w:eastAsia="zh-CN"/>
              </w:rPr>
              <w:t>，未提供的不得分。</w:t>
            </w:r>
          </w:p>
        </w:tc>
      </w:tr>
      <w:tr w14:paraId="6AB36D9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57" w:type="dxa"/>
            <w:tcBorders>
              <w:left w:val="single" w:color="000000" w:sz="6" w:space="0"/>
              <w:right w:val="single" w:color="000000" w:sz="6" w:space="0"/>
            </w:tcBorders>
            <w:shd w:val="clear" w:color="auto" w:fill="auto"/>
            <w:tcMar>
              <w:left w:w="120" w:type="dxa"/>
              <w:right w:w="120" w:type="dxa"/>
            </w:tcMar>
            <w:vAlign w:val="center"/>
          </w:tcPr>
          <w:p w14:paraId="6FDD0108">
            <w:pPr>
              <w:widowControl/>
              <w:wordWrap w:val="0"/>
              <w:spacing w:line="360" w:lineRule="auto"/>
              <w:jc w:val="center"/>
              <w:rPr>
                <w:rFonts w:hint="eastAsia" w:ascii="宋体" w:hAnsi="宋体" w:eastAsia="宋体" w:cs="宋体"/>
                <w:color w:val="auto"/>
                <w:kern w:val="0"/>
                <w:sz w:val="24"/>
                <w:szCs w:val="24"/>
              </w:rPr>
            </w:pPr>
            <w:r>
              <w:rPr>
                <w:rFonts w:hint="eastAsia" w:ascii="宋体" w:hAnsi="宋体" w:eastAsia="宋体"/>
                <w:color w:val="auto"/>
                <w:sz w:val="24"/>
                <w:szCs w:val="24"/>
                <w:lang w:val="en-US" w:eastAsia="zh-CN"/>
              </w:rPr>
              <w:t>2.</w:t>
            </w:r>
            <w:r>
              <w:rPr>
                <w:rFonts w:hint="eastAsia" w:ascii="宋体" w:hAnsi="宋体" w:eastAsia="宋体"/>
                <w:color w:val="auto"/>
                <w:sz w:val="24"/>
                <w:szCs w:val="24"/>
              </w:rPr>
              <w:t>产品批量缺陷</w:t>
            </w:r>
          </w:p>
        </w:tc>
        <w:tc>
          <w:tcPr>
            <w:tcW w:w="73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75C9A20F">
            <w:pPr>
              <w:widowControl/>
              <w:wordWrap w:val="0"/>
              <w:spacing w:line="360" w:lineRule="auto"/>
              <w:ind w:left="0" w:leftChars="0" w:right="0" w:rightChars="0"/>
              <w:jc w:val="center"/>
              <w:rPr>
                <w:rFonts w:hint="default" w:cs="宋体"/>
                <w:color w:val="auto"/>
                <w:spacing w:val="-6"/>
                <w:sz w:val="24"/>
                <w:szCs w:val="24"/>
                <w:lang w:val="en-US" w:eastAsia="zh-CN" w:bidi="ar-SA"/>
              </w:rPr>
            </w:pPr>
            <w:r>
              <w:rPr>
                <w:rFonts w:hint="eastAsia" w:cs="宋体"/>
                <w:color w:val="auto"/>
                <w:spacing w:val="-6"/>
                <w:sz w:val="24"/>
                <w:szCs w:val="24"/>
                <w:lang w:val="en-US" w:eastAsia="zh-CN" w:bidi="ar-SA"/>
              </w:rPr>
              <w:t>3</w:t>
            </w:r>
          </w:p>
        </w:tc>
        <w:tc>
          <w:tcPr>
            <w:tcW w:w="817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7D6FB7D1">
            <w:pPr>
              <w:widowControl/>
              <w:spacing w:line="360" w:lineRule="auto"/>
              <w:ind w:left="0" w:leftChars="0" w:right="0" w:rightChars="0"/>
              <w:textAlignment w:val="auto"/>
              <w:rPr>
                <w:rFonts w:ascii="宋体" w:hAnsi="宋体" w:eastAsia="宋体"/>
                <w:color w:val="auto"/>
                <w:sz w:val="24"/>
                <w:szCs w:val="24"/>
              </w:rPr>
            </w:pPr>
            <w:r>
              <w:rPr>
                <w:rFonts w:hint="eastAsia" w:ascii="宋体" w:hAnsi="宋体" w:eastAsia="宋体" w:cs="宋体"/>
                <w:color w:val="auto"/>
                <w:kern w:val="0"/>
                <w:sz w:val="24"/>
                <w:szCs w:val="24"/>
                <w:lang w:val="en-US" w:eastAsia="zh-CN" w:bidi="ar"/>
              </w:rPr>
              <w:t>根据投标人提供</w:t>
            </w:r>
            <w:r>
              <w:rPr>
                <w:rFonts w:hint="eastAsia" w:ascii="宋体" w:hAnsi="宋体" w:eastAsia="宋体" w:cs="宋体"/>
                <w:color w:val="auto"/>
                <w:spacing w:val="-6"/>
                <w:sz w:val="24"/>
                <w:szCs w:val="24"/>
                <w:highlight w:val="none"/>
                <w:lang w:val="en-US" w:eastAsia="zh-CN" w:bidi="ar-SA"/>
              </w:rPr>
              <w:t>所</w:t>
            </w:r>
            <w:r>
              <w:rPr>
                <w:rFonts w:hint="eastAsia" w:cs="宋体"/>
                <w:color w:val="auto"/>
                <w:spacing w:val="-6"/>
                <w:sz w:val="24"/>
                <w:szCs w:val="24"/>
                <w:highlight w:val="none"/>
                <w:lang w:val="en-US" w:eastAsia="zh-CN" w:bidi="ar-SA"/>
              </w:rPr>
              <w:t>投</w:t>
            </w:r>
            <w:r>
              <w:rPr>
                <w:rFonts w:hint="eastAsia"/>
                <w:color w:val="auto"/>
                <w:sz w:val="24"/>
                <w:szCs w:val="24"/>
                <w:lang w:val="en-US" w:eastAsia="zh-CN"/>
              </w:rPr>
              <w:t>车辆</w:t>
            </w:r>
            <w:r>
              <w:rPr>
                <w:rFonts w:hint="eastAsia" w:ascii="宋体" w:hAnsi="宋体" w:eastAsia="宋体"/>
                <w:color w:val="auto"/>
                <w:sz w:val="24"/>
                <w:szCs w:val="24"/>
              </w:rPr>
              <w:t>制造商销售产品无产品缺陷，</w:t>
            </w:r>
            <w:r>
              <w:rPr>
                <w:rFonts w:ascii="宋体" w:hAnsi="宋体" w:eastAsia="宋体"/>
                <w:color w:val="auto"/>
                <w:sz w:val="24"/>
                <w:szCs w:val="24"/>
              </w:rPr>
              <w:t>2017 年以来没有存在缺 陷汽车产品召回事项的得 3 分。</w:t>
            </w:r>
          </w:p>
          <w:p w14:paraId="3E7915B6">
            <w:pPr>
              <w:widowControl/>
              <w:spacing w:line="360" w:lineRule="auto"/>
              <w:ind w:left="0" w:leftChars="0" w:right="0" w:rightChars="0"/>
              <w:textAlignment w:val="auto"/>
              <w:rPr>
                <w:rFonts w:hint="eastAsia" w:ascii="宋体" w:hAnsi="宋体" w:eastAsia="宋体"/>
                <w:color w:val="auto"/>
                <w:sz w:val="24"/>
                <w:szCs w:val="24"/>
              </w:rPr>
            </w:pPr>
            <w:r>
              <w:rPr>
                <w:rFonts w:hint="eastAsia" w:ascii="宋体" w:hAnsi="宋体" w:eastAsia="宋体"/>
                <w:color w:val="auto"/>
                <w:sz w:val="24"/>
                <w:szCs w:val="24"/>
              </w:rPr>
              <w:t>注</w:t>
            </w:r>
            <w:r>
              <w:rPr>
                <w:rFonts w:ascii="宋体" w:hAnsi="宋体" w:eastAsia="宋体"/>
                <w:color w:val="auto"/>
                <w:sz w:val="24"/>
                <w:szCs w:val="24"/>
              </w:rPr>
              <w:t>：</w:t>
            </w:r>
            <w:r>
              <w:rPr>
                <w:rFonts w:hint="eastAsia"/>
                <w:color w:val="auto"/>
                <w:sz w:val="24"/>
                <w:szCs w:val="24"/>
                <w:lang w:val="en-US" w:eastAsia="zh-CN"/>
              </w:rPr>
              <w:t>需</w:t>
            </w:r>
            <w:r>
              <w:rPr>
                <w:rFonts w:ascii="宋体" w:hAnsi="宋体" w:eastAsia="宋体"/>
                <w:color w:val="auto"/>
                <w:sz w:val="24"/>
                <w:szCs w:val="24"/>
              </w:rPr>
              <w:t>提供国家市场监督管理总局（http://qxzh.samr.gov.cn/qxzh/qxxxcx/web.jsp ）缺陷产品召回查询系统查询情况截图或中国汽车召回网（https://www.qiche365.org.cn/index/recall/index.html）查询情况截图并加盖</w:t>
            </w:r>
            <w:r>
              <w:rPr>
                <w:rFonts w:hint="eastAsia"/>
                <w:color w:val="auto"/>
                <w:sz w:val="24"/>
                <w:szCs w:val="24"/>
                <w:lang w:eastAsia="zh-CN"/>
              </w:rPr>
              <w:t>投标人</w:t>
            </w:r>
            <w:r>
              <w:rPr>
                <w:rFonts w:ascii="宋体" w:hAnsi="宋体" w:eastAsia="宋体"/>
                <w:color w:val="auto"/>
                <w:sz w:val="24"/>
                <w:szCs w:val="24"/>
              </w:rPr>
              <w:t>公章，未提供</w:t>
            </w:r>
            <w:r>
              <w:rPr>
                <w:rFonts w:hint="eastAsia"/>
                <w:color w:val="auto"/>
                <w:sz w:val="24"/>
                <w:szCs w:val="24"/>
                <w:lang w:eastAsia="zh-CN"/>
              </w:rPr>
              <w:t>的</w:t>
            </w:r>
            <w:r>
              <w:rPr>
                <w:rFonts w:ascii="宋体" w:hAnsi="宋体" w:eastAsia="宋体"/>
                <w:color w:val="auto"/>
                <w:sz w:val="24"/>
                <w:szCs w:val="24"/>
              </w:rPr>
              <w:t>不得分。</w:t>
            </w:r>
          </w:p>
        </w:tc>
      </w:tr>
      <w:tr w14:paraId="7A8B3C3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57" w:type="dxa"/>
            <w:tcBorders>
              <w:left w:val="single" w:color="000000" w:sz="6" w:space="0"/>
              <w:right w:val="single" w:color="000000" w:sz="6" w:space="0"/>
            </w:tcBorders>
            <w:shd w:val="clear" w:color="auto" w:fill="auto"/>
            <w:tcMar>
              <w:left w:w="120" w:type="dxa"/>
              <w:right w:w="120" w:type="dxa"/>
            </w:tcMar>
            <w:vAlign w:val="center"/>
          </w:tcPr>
          <w:p w14:paraId="377E1449">
            <w:pPr>
              <w:widowControl/>
              <w:wordWrap w:val="0"/>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售后服务方案</w:t>
            </w:r>
          </w:p>
        </w:tc>
        <w:tc>
          <w:tcPr>
            <w:tcW w:w="73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0E05CD50">
            <w:pPr>
              <w:widowControl/>
              <w:wordWrap w:val="0"/>
              <w:spacing w:line="360" w:lineRule="auto"/>
              <w:ind w:left="0" w:leftChars="0" w:right="0" w:rightChars="0"/>
              <w:jc w:val="center"/>
              <w:rPr>
                <w:rFonts w:hint="default" w:cs="宋体"/>
                <w:color w:val="auto"/>
                <w:spacing w:val="-6"/>
                <w:sz w:val="24"/>
                <w:szCs w:val="24"/>
                <w:lang w:val="en-US" w:eastAsia="zh-CN" w:bidi="ar-SA"/>
              </w:rPr>
            </w:pPr>
            <w:r>
              <w:rPr>
                <w:rFonts w:hint="eastAsia" w:cs="宋体"/>
                <w:color w:val="auto"/>
                <w:spacing w:val="-6"/>
                <w:sz w:val="24"/>
                <w:szCs w:val="24"/>
                <w:lang w:val="en-US" w:eastAsia="zh-CN" w:bidi="ar-SA"/>
              </w:rPr>
              <w:t>2</w:t>
            </w:r>
          </w:p>
        </w:tc>
        <w:tc>
          <w:tcPr>
            <w:tcW w:w="817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454C454C">
            <w:pPr>
              <w:spacing w:line="360" w:lineRule="auto"/>
              <w:rPr>
                <w:rFonts w:hint="eastAsia" w:ascii="宋体" w:hAnsi="宋体" w:eastAsia="宋体" w:cs="宋体"/>
                <w:color w:val="auto"/>
                <w:spacing w:val="-6"/>
                <w:sz w:val="24"/>
                <w:szCs w:val="24"/>
                <w:highlight w:val="none"/>
                <w:lang w:val="en-US" w:eastAsia="zh-CN" w:bidi="ar-SA"/>
              </w:rPr>
            </w:pPr>
            <w:r>
              <w:rPr>
                <w:rFonts w:hint="eastAsia" w:ascii="宋体" w:hAnsi="宋体" w:eastAsia="宋体" w:cs="宋体"/>
                <w:color w:val="auto"/>
                <w:spacing w:val="-6"/>
                <w:sz w:val="24"/>
                <w:szCs w:val="24"/>
                <w:highlight w:val="none"/>
                <w:lang w:val="en-US" w:eastAsia="en-US" w:bidi="ar-SA"/>
              </w:rPr>
              <w:t>根据各投标人提供的</w:t>
            </w:r>
            <w:r>
              <w:rPr>
                <w:rFonts w:hint="eastAsia" w:ascii="宋体" w:hAnsi="宋体" w:eastAsia="宋体" w:cs="宋体"/>
                <w:color w:val="auto"/>
                <w:spacing w:val="-6"/>
                <w:sz w:val="24"/>
                <w:szCs w:val="24"/>
                <w:highlight w:val="none"/>
                <w:lang w:val="en-US" w:eastAsia="zh-CN" w:bidi="ar-SA"/>
              </w:rPr>
              <w:t>售后服务方案</w:t>
            </w:r>
            <w:r>
              <w:rPr>
                <w:rFonts w:hint="eastAsia" w:ascii="宋体" w:hAnsi="宋体" w:eastAsia="宋体" w:cs="宋体"/>
                <w:color w:val="auto"/>
                <w:spacing w:val="-6"/>
                <w:sz w:val="24"/>
                <w:szCs w:val="24"/>
                <w:highlight w:val="none"/>
                <w:lang w:val="en-US" w:eastAsia="en-US" w:bidi="ar-SA"/>
              </w:rPr>
              <w:t>（包含但不限于：</w:t>
            </w:r>
            <w:r>
              <w:rPr>
                <w:rFonts w:hint="eastAsia" w:ascii="宋体" w:hAnsi="宋体" w:eastAsia="宋体" w:cs="宋体"/>
                <w:color w:val="auto"/>
                <w:spacing w:val="-6"/>
                <w:sz w:val="24"/>
                <w:szCs w:val="24"/>
                <w:highlight w:val="none"/>
                <w:lang w:val="en-US" w:eastAsia="zh-CN" w:bidi="ar-SA"/>
              </w:rPr>
              <w:t>服务措施</w:t>
            </w:r>
            <w:r>
              <w:rPr>
                <w:rFonts w:hint="eastAsia" w:ascii="宋体" w:hAnsi="宋体" w:eastAsia="宋体" w:cs="宋体"/>
                <w:color w:val="auto"/>
                <w:spacing w:val="-6"/>
                <w:sz w:val="24"/>
                <w:szCs w:val="24"/>
                <w:highlight w:val="none"/>
                <w:lang w:val="en-US" w:eastAsia="en-US" w:bidi="ar-SA"/>
              </w:rPr>
              <w:t>、</w:t>
            </w:r>
            <w:r>
              <w:rPr>
                <w:rFonts w:hint="eastAsia" w:ascii="宋体" w:hAnsi="宋体" w:eastAsia="宋体" w:cs="宋体"/>
                <w:color w:val="auto"/>
                <w:spacing w:val="-6"/>
                <w:sz w:val="24"/>
                <w:szCs w:val="24"/>
                <w:highlight w:val="none"/>
                <w:lang w:val="en-US" w:eastAsia="zh-CN" w:bidi="ar-SA"/>
              </w:rPr>
              <w:t>零配件供应措施</w:t>
            </w:r>
            <w:r>
              <w:rPr>
                <w:rFonts w:hint="eastAsia" w:ascii="宋体" w:hAnsi="宋体" w:eastAsia="宋体" w:cs="宋体"/>
                <w:color w:val="auto"/>
                <w:spacing w:val="-6"/>
                <w:sz w:val="24"/>
                <w:szCs w:val="24"/>
                <w:highlight w:val="none"/>
                <w:lang w:val="en-US" w:eastAsia="en-US" w:bidi="ar-SA"/>
              </w:rPr>
              <w:t>）</w:t>
            </w:r>
            <w:r>
              <w:rPr>
                <w:rFonts w:hint="eastAsia" w:ascii="宋体" w:hAnsi="宋体" w:eastAsia="宋体" w:cs="宋体"/>
                <w:color w:val="auto"/>
                <w:spacing w:val="-6"/>
                <w:sz w:val="24"/>
                <w:szCs w:val="24"/>
                <w:highlight w:val="none"/>
                <w:lang w:val="en-US" w:eastAsia="zh-CN" w:bidi="ar-SA"/>
              </w:rPr>
              <w:t>，由评委进行评分：①方案包含的要点齐全，提供的</w:t>
            </w:r>
            <w:r>
              <w:rPr>
                <w:rFonts w:hint="eastAsia" w:ascii="宋体" w:hAnsi="宋体" w:eastAsia="宋体" w:cs="宋体"/>
                <w:color w:val="auto"/>
                <w:spacing w:val="-6"/>
                <w:sz w:val="24"/>
                <w:szCs w:val="24"/>
                <w:highlight w:val="none"/>
                <w:lang w:val="en-US" w:eastAsia="en-US" w:bidi="ar-SA"/>
              </w:rPr>
              <w:t>方案</w:t>
            </w:r>
            <w:r>
              <w:rPr>
                <w:rFonts w:hint="eastAsia" w:ascii="宋体" w:hAnsi="宋体" w:eastAsia="宋体" w:cs="宋体"/>
                <w:color w:val="auto"/>
                <w:spacing w:val="-6"/>
                <w:sz w:val="24"/>
                <w:szCs w:val="24"/>
                <w:highlight w:val="none"/>
                <w:lang w:val="en-US" w:eastAsia="zh-CN" w:bidi="ar-SA"/>
              </w:rPr>
              <w:t>内容详实完整、质量目标详细明确、质量体系全面，符合项目实际的得</w:t>
            </w:r>
            <w:r>
              <w:rPr>
                <w:rFonts w:hint="eastAsia" w:cs="宋体"/>
                <w:color w:val="auto"/>
                <w:spacing w:val="-6"/>
                <w:sz w:val="24"/>
                <w:szCs w:val="24"/>
                <w:highlight w:val="none"/>
                <w:lang w:val="en-US" w:eastAsia="zh-CN" w:bidi="ar-SA"/>
              </w:rPr>
              <w:t>2</w:t>
            </w:r>
            <w:r>
              <w:rPr>
                <w:rFonts w:hint="eastAsia" w:ascii="宋体" w:hAnsi="宋体" w:eastAsia="宋体" w:cs="宋体"/>
                <w:color w:val="auto"/>
                <w:spacing w:val="-6"/>
                <w:sz w:val="24"/>
                <w:szCs w:val="24"/>
                <w:highlight w:val="none"/>
                <w:lang w:val="en-US" w:eastAsia="zh-CN" w:bidi="ar-SA"/>
              </w:rPr>
              <w:t>分；</w:t>
            </w:r>
          </w:p>
          <w:p w14:paraId="52C10AB0">
            <w:pPr>
              <w:spacing w:line="360" w:lineRule="auto"/>
              <w:rPr>
                <w:rFonts w:hint="eastAsia" w:ascii="宋体" w:hAnsi="宋体" w:eastAsia="宋体" w:cs="宋体"/>
                <w:color w:val="auto"/>
                <w:spacing w:val="-6"/>
                <w:sz w:val="24"/>
                <w:szCs w:val="24"/>
                <w:highlight w:val="none"/>
                <w:lang w:val="en-US" w:eastAsia="zh-CN" w:bidi="ar-SA"/>
              </w:rPr>
            </w:pPr>
            <w:r>
              <w:rPr>
                <w:rFonts w:hint="eastAsia" w:ascii="宋体" w:hAnsi="宋体" w:eastAsia="宋体" w:cs="宋体"/>
                <w:color w:val="auto"/>
                <w:spacing w:val="-6"/>
                <w:sz w:val="24"/>
                <w:szCs w:val="24"/>
                <w:highlight w:val="none"/>
                <w:lang w:val="en-US" w:eastAsia="zh-CN" w:bidi="ar-SA"/>
              </w:rPr>
              <w:t>②方案所包含的要点齐全，提供的</w:t>
            </w:r>
            <w:r>
              <w:rPr>
                <w:rFonts w:hint="eastAsia" w:ascii="宋体" w:hAnsi="宋体" w:eastAsia="宋体" w:cs="宋体"/>
                <w:color w:val="auto"/>
                <w:spacing w:val="-6"/>
                <w:sz w:val="24"/>
                <w:szCs w:val="24"/>
                <w:highlight w:val="none"/>
                <w:lang w:val="en-US" w:eastAsia="en-US" w:bidi="ar-SA"/>
              </w:rPr>
              <w:t>方案</w:t>
            </w:r>
            <w:r>
              <w:rPr>
                <w:rFonts w:hint="eastAsia" w:ascii="宋体" w:hAnsi="宋体" w:eastAsia="宋体" w:cs="宋体"/>
                <w:color w:val="auto"/>
                <w:spacing w:val="-6"/>
                <w:sz w:val="24"/>
                <w:szCs w:val="24"/>
                <w:highlight w:val="none"/>
                <w:lang w:val="en-US" w:eastAsia="zh-CN" w:bidi="ar-SA"/>
              </w:rPr>
              <w:t>内容较详实、服务措施较详细明确、零配件供应措施较全面，较符合项目实际的得</w:t>
            </w:r>
            <w:r>
              <w:rPr>
                <w:rFonts w:hint="eastAsia" w:cs="宋体"/>
                <w:color w:val="auto"/>
                <w:spacing w:val="-6"/>
                <w:sz w:val="24"/>
                <w:szCs w:val="24"/>
                <w:highlight w:val="none"/>
                <w:lang w:val="en-US" w:eastAsia="zh-CN" w:bidi="ar-SA"/>
              </w:rPr>
              <w:t>1</w:t>
            </w:r>
            <w:r>
              <w:rPr>
                <w:rFonts w:hint="eastAsia" w:ascii="宋体" w:hAnsi="宋体" w:eastAsia="宋体" w:cs="宋体"/>
                <w:color w:val="auto"/>
                <w:spacing w:val="-6"/>
                <w:sz w:val="24"/>
                <w:szCs w:val="24"/>
                <w:highlight w:val="none"/>
                <w:lang w:val="en-US" w:eastAsia="zh-CN" w:bidi="ar-SA"/>
              </w:rPr>
              <w:t>分；</w:t>
            </w:r>
          </w:p>
          <w:p w14:paraId="46876533">
            <w:pPr>
              <w:spacing w:line="360" w:lineRule="auto"/>
              <w:rPr>
                <w:rFonts w:hint="eastAsia" w:ascii="宋体" w:hAnsi="宋体" w:eastAsia="宋体" w:cs="宋体"/>
                <w:color w:val="auto"/>
                <w:spacing w:val="-6"/>
                <w:sz w:val="24"/>
                <w:szCs w:val="24"/>
                <w:highlight w:val="none"/>
                <w:lang w:val="en-US" w:eastAsia="zh-CN" w:bidi="ar-SA"/>
              </w:rPr>
            </w:pPr>
            <w:r>
              <w:rPr>
                <w:rFonts w:hint="eastAsia" w:ascii="宋体" w:hAnsi="宋体" w:eastAsia="宋体" w:cs="宋体"/>
                <w:color w:val="auto"/>
                <w:spacing w:val="-6"/>
                <w:sz w:val="24"/>
                <w:szCs w:val="24"/>
                <w:highlight w:val="none"/>
                <w:lang w:val="en-US" w:eastAsia="zh-CN" w:bidi="ar-SA"/>
              </w:rPr>
              <w:t>③方案所包含的要点齐全，提供的</w:t>
            </w:r>
            <w:r>
              <w:rPr>
                <w:rFonts w:hint="eastAsia" w:ascii="宋体" w:hAnsi="宋体" w:eastAsia="宋体" w:cs="宋体"/>
                <w:color w:val="auto"/>
                <w:spacing w:val="-6"/>
                <w:sz w:val="24"/>
                <w:szCs w:val="24"/>
                <w:highlight w:val="none"/>
                <w:lang w:val="en-US" w:eastAsia="en-US" w:bidi="ar-SA"/>
              </w:rPr>
              <w:t>方案</w:t>
            </w:r>
            <w:r>
              <w:rPr>
                <w:rFonts w:hint="eastAsia" w:ascii="宋体" w:hAnsi="宋体" w:eastAsia="宋体" w:cs="宋体"/>
                <w:color w:val="auto"/>
                <w:spacing w:val="-6"/>
                <w:sz w:val="24"/>
                <w:szCs w:val="24"/>
                <w:highlight w:val="none"/>
                <w:lang w:val="en-US" w:eastAsia="zh-CN" w:bidi="ar-SA"/>
              </w:rPr>
              <w:t>内容基本完整、服务措施基本详细明确、零配件供应措施基本全面，基本符合项目实际的得</w:t>
            </w:r>
            <w:r>
              <w:rPr>
                <w:rFonts w:hint="eastAsia" w:cs="宋体"/>
                <w:color w:val="auto"/>
                <w:spacing w:val="-6"/>
                <w:sz w:val="24"/>
                <w:szCs w:val="24"/>
                <w:highlight w:val="none"/>
                <w:lang w:val="en-US" w:eastAsia="zh-CN" w:bidi="ar-SA"/>
              </w:rPr>
              <w:t>0</w:t>
            </w:r>
            <w:r>
              <w:rPr>
                <w:rFonts w:hint="eastAsia" w:ascii="宋体" w:hAnsi="宋体" w:eastAsia="宋体" w:cs="宋体"/>
                <w:color w:val="auto"/>
                <w:spacing w:val="-6"/>
                <w:sz w:val="24"/>
                <w:szCs w:val="24"/>
                <w:highlight w:val="none"/>
                <w:lang w:val="en-US" w:eastAsia="zh-CN" w:bidi="ar-SA"/>
              </w:rPr>
              <w:t>.5分。</w:t>
            </w:r>
          </w:p>
          <w:p w14:paraId="3080BD39">
            <w:pPr>
              <w:spacing w:line="360" w:lineRule="auto"/>
              <w:rPr>
                <w:rFonts w:hint="eastAsia" w:hAnsi="宋体" w:cs="Arial"/>
                <w:color w:val="auto"/>
                <w:sz w:val="24"/>
                <w:szCs w:val="24"/>
              </w:rPr>
            </w:pPr>
            <w:r>
              <w:rPr>
                <w:rFonts w:hint="eastAsia" w:ascii="宋体" w:hAnsi="宋体" w:eastAsia="宋体" w:cs="宋体"/>
                <w:color w:val="auto"/>
                <w:spacing w:val="-6"/>
                <w:sz w:val="24"/>
                <w:szCs w:val="24"/>
                <w:highlight w:val="none"/>
                <w:lang w:val="en-US" w:eastAsia="zh-CN" w:bidi="ar-SA"/>
              </w:rPr>
              <w:t>④方案所包含的要点有缺漏或未提供的不得分。</w:t>
            </w:r>
          </w:p>
        </w:tc>
      </w:tr>
      <w:tr w14:paraId="64384AB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1157" w:type="dxa"/>
            <w:tcBorders>
              <w:left w:val="single" w:color="000000" w:sz="6" w:space="0"/>
              <w:bottom w:val="single" w:color="000000" w:sz="6" w:space="0"/>
              <w:right w:val="single" w:color="000000" w:sz="6" w:space="0"/>
            </w:tcBorders>
            <w:shd w:val="clear" w:color="auto" w:fill="auto"/>
            <w:tcMar>
              <w:left w:w="120" w:type="dxa"/>
              <w:right w:w="120" w:type="dxa"/>
            </w:tcMar>
            <w:vAlign w:val="center"/>
          </w:tcPr>
          <w:p w14:paraId="12AF0ED2">
            <w:pPr>
              <w:widowControl/>
              <w:wordWrap w:val="0"/>
              <w:spacing w:line="360" w:lineRule="auto"/>
              <w:jc w:val="center"/>
              <w:rPr>
                <w:rFonts w:hint="eastAsia" w:ascii="宋体" w:hAnsi="宋体" w:eastAsia="宋体" w:cs="宋体"/>
                <w:color w:val="auto"/>
                <w:sz w:val="24"/>
                <w:szCs w:val="24"/>
                <w:lang w:val="en-US" w:eastAsia="zh-CN"/>
              </w:rPr>
            </w:pPr>
            <w:r>
              <w:rPr>
                <w:rStyle w:val="27"/>
                <w:rFonts w:hint="eastAsia" w:ascii="宋体" w:hAnsi="宋体" w:eastAsia="宋体" w:cs="宋体"/>
                <w:color w:val="auto"/>
                <w:sz w:val="24"/>
                <w:szCs w:val="24"/>
                <w:lang w:val="en-US" w:eastAsia="zh-CN"/>
              </w:rPr>
              <w:t>4.</w:t>
            </w:r>
            <w:r>
              <w:rPr>
                <w:rStyle w:val="27"/>
                <w:rFonts w:hint="eastAsia" w:ascii="宋体" w:hAnsi="宋体" w:eastAsia="宋体" w:cs="宋体"/>
                <w:color w:val="auto"/>
                <w:sz w:val="24"/>
                <w:szCs w:val="24"/>
              </w:rPr>
              <w:t>服务及时性</w:t>
            </w:r>
          </w:p>
        </w:tc>
        <w:tc>
          <w:tcPr>
            <w:tcW w:w="735"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13DC18CA">
            <w:pPr>
              <w:widowControl/>
              <w:wordWrap w:val="0"/>
              <w:spacing w:line="360" w:lineRule="auto"/>
              <w:ind w:left="0" w:leftChars="0" w:right="0" w:rightChars="0"/>
              <w:jc w:val="center"/>
              <w:rPr>
                <w:rFonts w:hint="default" w:cs="宋体"/>
                <w:color w:val="auto"/>
                <w:spacing w:val="-6"/>
                <w:sz w:val="24"/>
                <w:szCs w:val="24"/>
                <w:lang w:val="en-US" w:eastAsia="zh-CN" w:bidi="ar-SA"/>
              </w:rPr>
            </w:pPr>
            <w:r>
              <w:rPr>
                <w:rFonts w:hint="eastAsia" w:cs="宋体"/>
                <w:color w:val="auto"/>
                <w:spacing w:val="-6"/>
                <w:sz w:val="24"/>
                <w:szCs w:val="24"/>
                <w:lang w:val="en-US" w:eastAsia="zh-CN" w:bidi="ar-SA"/>
              </w:rPr>
              <w:t>3</w:t>
            </w:r>
          </w:p>
        </w:tc>
        <w:tc>
          <w:tcPr>
            <w:tcW w:w="8178" w:type="dxa"/>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14:paraId="3C3C3B6F">
            <w:pPr>
              <w:spacing w:line="360" w:lineRule="auto"/>
              <w:ind w:left="0" w:leftChars="0" w:right="0" w:rightChars="0"/>
              <w:textAlignment w:val="center"/>
              <w:rPr>
                <w:rFonts w:hint="eastAsia" w:ascii="宋体" w:hAnsi="宋体" w:eastAsia="宋体" w:cs="宋体"/>
                <w:b w:val="0"/>
                <w:bCs w:val="0"/>
                <w:color w:val="auto"/>
                <w:kern w:val="0"/>
                <w:sz w:val="24"/>
                <w:szCs w:val="24"/>
              </w:rPr>
            </w:pPr>
            <w:r>
              <w:rPr>
                <w:rFonts w:hint="eastAsia" w:ascii="宋体" w:hAnsi="宋体" w:cs="Arial"/>
                <w:color w:val="auto"/>
                <w:kern w:val="0"/>
                <w:sz w:val="24"/>
                <w:szCs w:val="24"/>
                <w:lang w:eastAsia="zh-CN"/>
              </w:rPr>
              <w:t>根据</w:t>
            </w:r>
            <w:r>
              <w:rPr>
                <w:rFonts w:hint="eastAsia" w:ascii="宋体" w:hAnsi="宋体" w:eastAsia="宋体" w:cs="宋体"/>
                <w:b w:val="0"/>
                <w:bCs w:val="0"/>
                <w:color w:val="auto"/>
                <w:kern w:val="0"/>
                <w:sz w:val="24"/>
                <w:szCs w:val="24"/>
              </w:rPr>
              <w:t>投标人在宁德地区提供售后服务网点服务，服务网点数量≥4家的得3分；服务网点数量＜4家的得1.5分，无售后服务网点不得分。</w:t>
            </w:r>
          </w:p>
          <w:p w14:paraId="692BE60A">
            <w:pPr>
              <w:spacing w:line="360" w:lineRule="auto"/>
              <w:ind w:left="0" w:leftChars="0" w:right="0" w:rightChars="0"/>
              <w:textAlignment w:val="center"/>
              <w:rPr>
                <w:rFonts w:hint="eastAsia" w:hAnsi="宋体" w:eastAsia="宋体" w:cs="Arial"/>
                <w:color w:val="auto"/>
                <w:sz w:val="24"/>
                <w:szCs w:val="24"/>
                <w:lang w:eastAsia="zh-CN"/>
              </w:rPr>
            </w:pPr>
            <w:r>
              <w:rPr>
                <w:rFonts w:hint="eastAsia" w:cs="宋体"/>
                <w:b w:val="0"/>
                <w:bCs w:val="0"/>
                <w:color w:val="auto"/>
                <w:kern w:val="0"/>
                <w:sz w:val="24"/>
                <w:szCs w:val="24"/>
                <w:lang w:val="en-US" w:eastAsia="zh-CN"/>
              </w:rPr>
              <w:t>注：需</w:t>
            </w:r>
            <w:r>
              <w:rPr>
                <w:rFonts w:hint="eastAsia" w:ascii="宋体" w:hAnsi="宋体" w:eastAsia="宋体" w:cs="宋体"/>
                <w:b w:val="0"/>
                <w:bCs w:val="0"/>
                <w:color w:val="auto"/>
                <w:kern w:val="0"/>
                <w:sz w:val="24"/>
                <w:szCs w:val="24"/>
              </w:rPr>
              <w:t>提供售后服务网点合同复印件加盖</w:t>
            </w:r>
            <w:r>
              <w:rPr>
                <w:rFonts w:hint="eastAsia" w:cs="宋体"/>
                <w:b w:val="0"/>
                <w:bCs w:val="0"/>
                <w:color w:val="auto"/>
                <w:kern w:val="0"/>
                <w:sz w:val="24"/>
                <w:szCs w:val="24"/>
                <w:lang w:val="en-US" w:eastAsia="zh-CN"/>
              </w:rPr>
              <w:t>投标人</w:t>
            </w:r>
            <w:r>
              <w:rPr>
                <w:rFonts w:hint="eastAsia" w:ascii="宋体" w:hAnsi="宋体" w:eastAsia="宋体" w:cs="宋体"/>
                <w:b w:val="0"/>
                <w:bCs w:val="0"/>
                <w:color w:val="auto"/>
                <w:kern w:val="0"/>
                <w:sz w:val="24"/>
                <w:szCs w:val="24"/>
              </w:rPr>
              <w:t>公章</w:t>
            </w:r>
            <w:r>
              <w:rPr>
                <w:rFonts w:hint="eastAsia" w:cs="宋体"/>
                <w:b w:val="0"/>
                <w:bCs w:val="0"/>
                <w:color w:val="auto"/>
                <w:kern w:val="0"/>
                <w:sz w:val="24"/>
                <w:szCs w:val="24"/>
                <w:lang w:eastAsia="zh-CN"/>
              </w:rPr>
              <w:t>。</w:t>
            </w:r>
          </w:p>
        </w:tc>
      </w:tr>
    </w:tbl>
    <w:p w14:paraId="7C6C68F7">
      <w:pPr>
        <w:pStyle w:val="26"/>
        <w:spacing w:line="360" w:lineRule="auto"/>
        <w:jc w:val="both"/>
        <w:rPr>
          <w:rFonts w:hint="eastAsia" w:ascii="宋体" w:hAnsi="宋体" w:eastAsia="宋体" w:cs="宋体"/>
          <w:color w:val="auto"/>
          <w:sz w:val="24"/>
          <w:szCs w:val="24"/>
        </w:rPr>
      </w:pPr>
      <w:r>
        <w:rPr>
          <w:rFonts w:hint="eastAsia" w:ascii="宋体" w:hAnsi="宋体" w:eastAsia="宋体" w:cs="宋体"/>
          <w:color w:val="auto"/>
          <w:sz w:val="24"/>
          <w:szCs w:val="24"/>
        </w:rPr>
        <w:t>加分项（F4×A4）</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13"/>
        <w:gridCol w:w="1176"/>
        <w:gridCol w:w="8157"/>
      </w:tblGrid>
      <w:tr w14:paraId="1DC5CE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14" w:type="dxa"/>
          </w:tcPr>
          <w:p w14:paraId="57B9AC19">
            <w:pPr>
              <w:pStyle w:val="26"/>
              <w:spacing w:line="360" w:lineRule="auto"/>
              <w:jc w:val="both"/>
              <w:rPr>
                <w:rFonts w:hint="eastAsia" w:ascii="宋体" w:hAnsi="宋体" w:eastAsia="宋体" w:cs="宋体"/>
                <w:color w:val="auto"/>
                <w:sz w:val="24"/>
                <w:szCs w:val="24"/>
              </w:rPr>
            </w:pPr>
            <w:r>
              <w:rPr>
                <w:rFonts w:hint="eastAsia" w:ascii="宋体" w:hAnsi="宋体" w:eastAsia="宋体" w:cs="宋体"/>
                <w:color w:val="auto"/>
                <w:sz w:val="24"/>
                <w:szCs w:val="24"/>
              </w:rPr>
              <w:t>项目</w:t>
            </w:r>
          </w:p>
        </w:tc>
        <w:tc>
          <w:tcPr>
            <w:tcW w:w="660" w:type="dxa"/>
          </w:tcPr>
          <w:p w14:paraId="3FDEA40D">
            <w:pPr>
              <w:pStyle w:val="26"/>
              <w:spacing w:line="360" w:lineRule="auto"/>
              <w:jc w:val="both"/>
              <w:rPr>
                <w:rFonts w:hint="eastAsia" w:ascii="宋体" w:hAnsi="宋体" w:eastAsia="宋体" w:cs="宋体"/>
                <w:color w:val="auto"/>
                <w:sz w:val="24"/>
                <w:szCs w:val="24"/>
              </w:rPr>
            </w:pPr>
            <w:r>
              <w:rPr>
                <w:rFonts w:hint="eastAsia" w:ascii="宋体" w:hAnsi="宋体" w:eastAsia="宋体" w:cs="宋体"/>
                <w:color w:val="auto"/>
                <w:sz w:val="24"/>
                <w:szCs w:val="24"/>
              </w:rPr>
              <w:t>分值</w:t>
            </w:r>
          </w:p>
        </w:tc>
        <w:tc>
          <w:tcPr>
            <w:tcW w:w="8666" w:type="dxa"/>
          </w:tcPr>
          <w:p w14:paraId="01DBE9BA">
            <w:pPr>
              <w:pStyle w:val="26"/>
              <w:spacing w:line="360" w:lineRule="auto"/>
              <w:jc w:val="both"/>
              <w:rPr>
                <w:rFonts w:hint="eastAsia" w:ascii="宋体" w:hAnsi="宋体" w:eastAsia="宋体" w:cs="宋体"/>
                <w:color w:val="auto"/>
                <w:sz w:val="24"/>
                <w:szCs w:val="24"/>
              </w:rPr>
            </w:pPr>
            <w:r>
              <w:rPr>
                <w:rFonts w:hint="eastAsia" w:ascii="宋体" w:hAnsi="宋体" w:eastAsia="宋体" w:cs="宋体"/>
                <w:color w:val="auto"/>
                <w:sz w:val="24"/>
                <w:szCs w:val="24"/>
              </w:rPr>
              <w:t xml:space="preserve"> 描述</w:t>
            </w:r>
          </w:p>
        </w:tc>
      </w:tr>
      <w:tr w14:paraId="13A95F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14" w:type="dxa"/>
            <w:vAlign w:val="top"/>
          </w:tcPr>
          <w:p w14:paraId="28178CCC">
            <w:pPr>
              <w:pStyle w:val="26"/>
              <w:spacing w:line="360" w:lineRule="auto"/>
              <w:jc w:val="left"/>
              <w:rPr>
                <w:rFonts w:hint="eastAsia" w:ascii="宋体" w:hAnsi="宋体" w:eastAsia="宋体" w:cs="宋体"/>
                <w:color w:val="auto"/>
                <w:sz w:val="24"/>
                <w:szCs w:val="24"/>
              </w:rPr>
            </w:pPr>
            <w:r>
              <w:rPr>
                <w:rFonts w:hint="eastAsia" w:ascii="宋体" w:hAnsi="宋体" w:eastAsia="宋体" w:cs="宋体"/>
                <w:color w:val="auto"/>
                <w:sz w:val="24"/>
                <w:szCs w:val="24"/>
              </w:rPr>
              <w:t>节能、环境标志产品</w:t>
            </w:r>
          </w:p>
        </w:tc>
        <w:tc>
          <w:tcPr>
            <w:tcW w:w="660" w:type="dxa"/>
            <w:vAlign w:val="top"/>
          </w:tcPr>
          <w:p w14:paraId="2BDBD574">
            <w:pPr>
              <w:pStyle w:val="26"/>
              <w:spacing w:line="360" w:lineRule="auto"/>
              <w:jc w:val="right"/>
              <w:rPr>
                <w:rFonts w:hint="eastAsia" w:ascii="宋体" w:hAnsi="宋体" w:eastAsia="宋体" w:cs="宋体"/>
                <w:color w:val="auto"/>
                <w:sz w:val="24"/>
                <w:szCs w:val="24"/>
              </w:rPr>
            </w:pPr>
            <w:r>
              <w:rPr>
                <w:rFonts w:hint="eastAsia" w:ascii="宋体" w:hAnsi="宋体" w:eastAsia="宋体" w:cs="宋体"/>
                <w:color w:val="auto"/>
                <w:sz w:val="24"/>
                <w:szCs w:val="24"/>
              </w:rPr>
              <w:t>10.0000%</w:t>
            </w:r>
          </w:p>
        </w:tc>
        <w:tc>
          <w:tcPr>
            <w:tcW w:w="8666" w:type="dxa"/>
            <w:vAlign w:val="top"/>
          </w:tcPr>
          <w:p w14:paraId="670CE4E6">
            <w:pPr>
              <w:pStyle w:val="26"/>
              <w:spacing w:line="360" w:lineRule="auto"/>
              <w:jc w:val="left"/>
              <w:rPr>
                <w:rFonts w:hint="eastAsia" w:ascii="宋体" w:hAnsi="宋体" w:eastAsia="宋体" w:cs="宋体"/>
                <w:color w:val="auto"/>
                <w:sz w:val="24"/>
                <w:szCs w:val="24"/>
              </w:rPr>
            </w:pPr>
            <w:r>
              <w:rPr>
                <w:rFonts w:hint="eastAsia" w:ascii="宋体" w:hAnsi="宋体" w:eastAsia="宋体" w:cs="宋体"/>
                <w:color w:val="auto"/>
                <w:sz w:val="24"/>
                <w:szCs w:val="24"/>
              </w:rPr>
              <w:t>根据《福建省财政厅关于加强政府绿色采购工作的通知》(闽财规(20243号)文件，本采购包给予节能、环境标志产品每个单项报价10%的价格扣除。注:①节能产品是指财政部、发展改革委最新公布的《节能产品政府采购品目清单》内且获得国家确定的认证机构出具的、处于有效期之内的产品认证证书的产品;环境标志产品是指生态环境部和财政部最新公布的《环境标志产品政府采购品目清单》内且获得国家确定的认证机构出具的、处于有效期之内的产品认证证书的产品;②同一采购包内的节能、环境标志产品部分价格扣除只对属于清单内的非强制类产品进行价格扣除，强制类产品不给予价格扣除。③若同一采购包内的节能、环境标志产品仅是构成报价产品的部件、组件或零件的，则不给予价格扣除。获得上述认证的产品在报价时应提供有效证明材料)。同一品目中各认证证书不重复计算价格扣除。属于政府强制采购的节能产品不享受价格扣除。④投标人在报价时必须对节能(非强制类产品)、环境标志产品单独分项报价，并于投标文件中提供属于节能(非强制类产品)、环境标志产品的证明资料(国家确定的认证机构出具的、处于有效期之内的产品认证证书复印件)。</w:t>
            </w:r>
          </w:p>
        </w:tc>
      </w:tr>
    </w:tbl>
    <w:p w14:paraId="59195A86">
      <w:pPr>
        <w:pStyle w:val="6"/>
        <w:spacing w:before="96"/>
        <w:ind w:left="0" w:leftChars="0" w:firstLine="0" w:firstLineChars="0"/>
        <w:rPr>
          <w:rFonts w:hint="eastAsia" w:asciiTheme="minorEastAsia" w:hAnsiTheme="minorEastAsia" w:eastAsiaTheme="minorEastAsia" w:cstheme="minorEastAsia"/>
          <w:color w:val="auto"/>
        </w:rPr>
      </w:pPr>
    </w:p>
    <w:p w14:paraId="2E8D6BD6">
      <w:pPr>
        <w:pStyle w:val="6"/>
        <w:spacing w:before="96"/>
        <w:ind w:left="0" w:leftChars="0" w:firstLine="0" w:firstLineChars="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（4）中标候选人排列规则顺序如下：</w:t>
      </w:r>
    </w:p>
    <w:p w14:paraId="0CCD551C">
      <w:pPr>
        <w:pStyle w:val="24"/>
        <w:numPr>
          <w:ilvl w:val="0"/>
          <w:numId w:val="62"/>
        </w:numPr>
        <w:tabs>
          <w:tab w:val="left" w:pos="397"/>
        </w:tabs>
        <w:spacing w:before="113" w:after="0" w:line="240" w:lineRule="auto"/>
        <w:ind w:left="396" w:right="0" w:hanging="176"/>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按照评标总得分（FA）由高到低顺序排列。</w:t>
      </w:r>
    </w:p>
    <w:p w14:paraId="4367ED15">
      <w:pPr>
        <w:pStyle w:val="24"/>
        <w:numPr>
          <w:ilvl w:val="0"/>
          <w:numId w:val="62"/>
        </w:numPr>
        <w:tabs>
          <w:tab w:val="left" w:pos="409"/>
        </w:tabs>
        <w:spacing w:before="112" w:after="0" w:line="328" w:lineRule="auto"/>
        <w:ind w:left="220" w:right="577" w:firstLine="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2"/>
          <w:sz w:val="24"/>
        </w:rPr>
        <w:t>评标总得分</w:t>
      </w:r>
      <w:r>
        <w:rPr>
          <w:rFonts w:hint="eastAsia" w:asciiTheme="minorEastAsia" w:hAnsiTheme="minorEastAsia" w:eastAsiaTheme="minorEastAsia" w:cstheme="minorEastAsia"/>
          <w:color w:val="auto"/>
          <w:spacing w:val="-4"/>
          <w:sz w:val="24"/>
        </w:rPr>
        <w:t>（FA）相同的，按照评标价</w:t>
      </w:r>
      <w:r>
        <w:rPr>
          <w:rFonts w:hint="eastAsia" w:asciiTheme="minorEastAsia" w:hAnsiTheme="minorEastAsia" w:eastAsiaTheme="minorEastAsia" w:cstheme="minorEastAsia"/>
          <w:color w:val="auto"/>
          <w:sz w:val="24"/>
        </w:rPr>
        <w:t>（即价格扣除后的投标报价</w:t>
      </w:r>
      <w:r>
        <w:rPr>
          <w:rFonts w:hint="eastAsia" w:asciiTheme="minorEastAsia" w:hAnsiTheme="minorEastAsia" w:eastAsiaTheme="minorEastAsia" w:cstheme="minorEastAsia"/>
          <w:color w:val="auto"/>
          <w:spacing w:val="-10"/>
          <w:sz w:val="24"/>
        </w:rPr>
        <w:t>）</w:t>
      </w:r>
      <w:r>
        <w:rPr>
          <w:rFonts w:hint="eastAsia" w:asciiTheme="minorEastAsia" w:hAnsiTheme="minorEastAsia" w:eastAsiaTheme="minorEastAsia" w:cstheme="minorEastAsia"/>
          <w:color w:val="auto"/>
          <w:spacing w:val="-2"/>
          <w:sz w:val="24"/>
        </w:rPr>
        <w:t>由低到高顺序排</w:t>
      </w:r>
      <w:r>
        <w:rPr>
          <w:rFonts w:hint="eastAsia" w:asciiTheme="minorEastAsia" w:hAnsiTheme="minorEastAsia" w:eastAsiaTheme="minorEastAsia" w:cstheme="minorEastAsia"/>
          <w:color w:val="auto"/>
          <w:sz w:val="24"/>
        </w:rPr>
        <w:t>列。</w:t>
      </w:r>
    </w:p>
    <w:p w14:paraId="5E4A9673">
      <w:pPr>
        <w:pStyle w:val="6"/>
        <w:spacing w:before="113"/>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z w:val="24"/>
        </w:rPr>
        <w:t>评标总得分（FA）且评标价（即价格扣除后的投标报价）相同的并列。</w:t>
      </w:r>
    </w:p>
    <w:p w14:paraId="6027D746">
      <w:pPr>
        <w:pStyle w:val="6"/>
        <w:spacing w:before="113"/>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8、其他规定</w:t>
      </w:r>
    </w:p>
    <w:p w14:paraId="0DDC8BDA">
      <w:pPr>
        <w:pStyle w:val="24"/>
        <w:numPr>
          <w:ilvl w:val="0"/>
          <w:numId w:val="0"/>
        </w:numPr>
        <w:tabs>
          <w:tab w:val="left" w:pos="1063"/>
        </w:tabs>
        <w:spacing w:before="112" w:after="0" w:line="240" w:lineRule="auto"/>
        <w:ind w:right="0" w:rightChars="0" w:firstLine="240" w:firstLineChars="1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8.1</w:t>
      </w:r>
      <w:r>
        <w:rPr>
          <w:rFonts w:hint="eastAsia" w:asciiTheme="minorEastAsia" w:hAnsiTheme="minorEastAsia" w:eastAsiaTheme="minorEastAsia" w:cstheme="minorEastAsia"/>
          <w:color w:val="auto"/>
          <w:sz w:val="24"/>
        </w:rPr>
        <w:t>评标应全程保密且不得透露给任一投标人或与评标工作无关的人员。</w:t>
      </w:r>
    </w:p>
    <w:p w14:paraId="5DA1B534">
      <w:pPr>
        <w:pStyle w:val="24"/>
        <w:numPr>
          <w:ilvl w:val="0"/>
          <w:numId w:val="0"/>
        </w:numPr>
        <w:tabs>
          <w:tab w:val="left" w:pos="1063"/>
        </w:tabs>
        <w:spacing w:before="113" w:after="0" w:line="240" w:lineRule="auto"/>
        <w:ind w:right="0" w:rightChars="0" w:firstLine="240" w:firstLineChars="1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8.2</w:t>
      </w:r>
      <w:r>
        <w:rPr>
          <w:rFonts w:hint="eastAsia" w:asciiTheme="minorEastAsia" w:hAnsiTheme="minorEastAsia" w:eastAsiaTheme="minorEastAsia" w:cstheme="minorEastAsia"/>
          <w:color w:val="auto"/>
          <w:sz w:val="24"/>
        </w:rPr>
        <w:t>评标将进行全程实时录音录像，录音录像资料随采购文件一并存档。</w:t>
      </w:r>
    </w:p>
    <w:p w14:paraId="057B275C">
      <w:pPr>
        <w:pStyle w:val="24"/>
        <w:numPr>
          <w:ilvl w:val="0"/>
          <w:numId w:val="0"/>
        </w:numPr>
        <w:tabs>
          <w:tab w:val="left" w:pos="1063"/>
        </w:tabs>
        <w:spacing w:before="112" w:after="0" w:line="328" w:lineRule="auto"/>
        <w:ind w:right="457" w:rightChars="0" w:firstLine="226" w:firstLineChars="1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7"/>
          <w:sz w:val="24"/>
          <w:lang w:val="en-US" w:eastAsia="zh-CN"/>
        </w:rPr>
        <w:t>8.3</w:t>
      </w:r>
      <w:r>
        <w:rPr>
          <w:rFonts w:hint="eastAsia" w:asciiTheme="minorEastAsia" w:hAnsiTheme="minorEastAsia" w:eastAsiaTheme="minorEastAsia" w:cstheme="minorEastAsia"/>
          <w:color w:val="auto"/>
          <w:spacing w:val="-7"/>
          <w:sz w:val="24"/>
        </w:rPr>
        <w:t xml:space="preserve">若投标人有任何试图干扰具体评标事务，影响评标委员会独立履行职责的行为， </w:t>
      </w:r>
      <w:r>
        <w:rPr>
          <w:rFonts w:hint="eastAsia" w:asciiTheme="minorEastAsia" w:hAnsiTheme="minorEastAsia" w:eastAsiaTheme="minorEastAsia" w:cstheme="minorEastAsia"/>
          <w:color w:val="auto"/>
          <w:spacing w:val="-4"/>
          <w:sz w:val="24"/>
        </w:rPr>
        <w:t>其投标无效且不予退还投标保证金或通过投标保函进行索赔。情节严重的，由财政部门列入不良行为记录。</w:t>
      </w:r>
    </w:p>
    <w:p w14:paraId="0BC92668">
      <w:pPr>
        <w:pStyle w:val="24"/>
        <w:numPr>
          <w:ilvl w:val="0"/>
          <w:numId w:val="0"/>
        </w:numPr>
        <w:tabs>
          <w:tab w:val="left" w:pos="1063"/>
        </w:tabs>
        <w:spacing w:before="0" w:after="0" w:line="304" w:lineRule="exact"/>
        <w:ind w:right="0" w:rightChars="0" w:firstLine="240" w:firstLineChars="1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lang w:val="en-US" w:eastAsia="zh-CN"/>
        </w:rPr>
        <w:t>8.4</w:t>
      </w:r>
      <w:r>
        <w:rPr>
          <w:rFonts w:hint="eastAsia" w:asciiTheme="minorEastAsia" w:hAnsiTheme="minorEastAsia" w:eastAsiaTheme="minorEastAsia" w:cstheme="minorEastAsia"/>
          <w:color w:val="auto"/>
          <w:sz w:val="24"/>
        </w:rPr>
        <w:t>其他：无。</w:t>
      </w:r>
    </w:p>
    <w:p w14:paraId="15082B2A">
      <w:pPr>
        <w:spacing w:after="0" w:line="304" w:lineRule="exact"/>
        <w:jc w:val="left"/>
        <w:rPr>
          <w:rFonts w:hint="eastAsia" w:asciiTheme="minorEastAsia" w:hAnsiTheme="minorEastAsia" w:eastAsiaTheme="minorEastAsia" w:cstheme="minorEastAsia"/>
          <w:color w:val="auto"/>
          <w:sz w:val="24"/>
        </w:rPr>
        <w:sectPr>
          <w:footerReference r:id="rId8" w:type="default"/>
          <w:pgSz w:w="11910" w:h="16840"/>
          <w:pgMar w:top="1420" w:right="860" w:bottom="1080" w:left="1220" w:header="0" w:footer="890" w:gutter="0"/>
          <w:pgNumType w:fmt="decimal"/>
          <w:cols w:space="720" w:num="1"/>
        </w:sectPr>
      </w:pPr>
    </w:p>
    <w:p w14:paraId="4DC7EFAE">
      <w:pPr>
        <w:pStyle w:val="3"/>
        <w:ind w:left="3044" w:right="0"/>
        <w:jc w:val="left"/>
        <w:rPr>
          <w:rFonts w:hint="eastAsia" w:asciiTheme="minorEastAsia" w:hAnsiTheme="minorEastAsia" w:eastAsiaTheme="minorEastAsia" w:cstheme="minorEastAsia"/>
          <w:color w:val="auto"/>
        </w:rPr>
      </w:pPr>
      <w:bookmarkStart w:id="35" w:name="第五章 招标内容及要求"/>
      <w:bookmarkEnd w:id="35"/>
      <w:r>
        <w:rPr>
          <w:rFonts w:hint="eastAsia" w:asciiTheme="minorEastAsia" w:hAnsiTheme="minorEastAsia" w:eastAsiaTheme="minorEastAsia" w:cstheme="minorEastAsia"/>
          <w:color w:val="auto"/>
          <w:sz w:val="36"/>
          <w:szCs w:val="36"/>
        </w:rPr>
        <w:t>第五章 招标内容及要求</w:t>
      </w:r>
    </w:p>
    <w:p w14:paraId="0CF4C5B0">
      <w:pPr>
        <w:pStyle w:val="4"/>
        <w:spacing w:before="186" w:line="360" w:lineRule="auto"/>
        <w:ind w:left="0" w:leftChars="0" w:firstLine="0" w:firstLineChars="0"/>
        <w:rPr>
          <w:rFonts w:hint="eastAsia" w:asciiTheme="minorEastAsia" w:hAnsiTheme="minorEastAsia" w:eastAsiaTheme="minorEastAsia" w:cstheme="minorEastAsia"/>
          <w:color w:val="auto"/>
        </w:rPr>
      </w:pPr>
      <w:bookmarkStart w:id="36" w:name="一、项目概况（采购标的）"/>
      <w:bookmarkEnd w:id="36"/>
      <w:r>
        <w:rPr>
          <w:rFonts w:hint="eastAsia" w:asciiTheme="minorEastAsia" w:hAnsiTheme="minorEastAsia" w:eastAsiaTheme="minorEastAsia" w:cstheme="minorEastAsia"/>
          <w:color w:val="auto"/>
        </w:rPr>
        <w:t>一、项目概况（采购标的）</w:t>
      </w:r>
    </w:p>
    <w:p w14:paraId="0EC79973">
      <w:pPr>
        <w:spacing w:line="360" w:lineRule="auto"/>
        <w:ind w:firstLine="480" w:firstLineChars="200"/>
        <w:rPr>
          <w:rFonts w:hint="default" w:eastAsiaTheme="minorEastAsia"/>
          <w:lang w:val="en-US" w:eastAsia="zh-CN"/>
        </w:rPr>
      </w:pPr>
      <w:r>
        <w:rPr>
          <w:rFonts w:hint="eastAsia" w:asciiTheme="minorEastAsia" w:hAnsiTheme="minorEastAsia" w:eastAsiaTheme="minorEastAsia" w:cstheme="minorEastAsia"/>
          <w:b w:val="0"/>
          <w:bCs w:val="0"/>
          <w:color w:val="auto"/>
          <w:sz w:val="24"/>
          <w:szCs w:val="24"/>
        </w:rPr>
        <w:t>本次</w:t>
      </w:r>
      <w:r>
        <w:rPr>
          <w:rFonts w:hint="eastAsia" w:asciiTheme="minorEastAsia" w:hAnsiTheme="minorEastAsia" w:eastAsiaTheme="minorEastAsia" w:cstheme="minorEastAsia"/>
          <w:b w:val="0"/>
          <w:bCs w:val="0"/>
          <w:color w:val="auto"/>
          <w:sz w:val="24"/>
          <w:szCs w:val="24"/>
          <w:lang w:eastAsia="zh-CN"/>
        </w:rPr>
        <w:t>为福安市市政及公共服务新型基础设施建设工程（公交车扩容工程），投标人</w:t>
      </w:r>
      <w:r>
        <w:rPr>
          <w:rFonts w:hint="eastAsia" w:asciiTheme="minorEastAsia" w:hAnsiTheme="minorEastAsia" w:eastAsiaTheme="minorEastAsia" w:cstheme="minorEastAsia"/>
          <w:b w:val="0"/>
          <w:bCs w:val="0"/>
          <w:color w:val="auto"/>
          <w:sz w:val="24"/>
          <w:szCs w:val="24"/>
        </w:rPr>
        <w:t>应根据</w:t>
      </w:r>
      <w:r>
        <w:rPr>
          <w:rFonts w:hint="eastAsia" w:asciiTheme="minorEastAsia" w:hAnsiTheme="minorEastAsia" w:eastAsiaTheme="minorEastAsia" w:cstheme="minorEastAsia"/>
          <w:b w:val="0"/>
          <w:bCs w:val="0"/>
          <w:color w:val="auto"/>
          <w:sz w:val="24"/>
          <w:szCs w:val="24"/>
          <w:lang w:eastAsia="zh-CN"/>
        </w:rPr>
        <w:t>招标</w:t>
      </w:r>
      <w:r>
        <w:rPr>
          <w:rFonts w:hint="eastAsia" w:asciiTheme="minorEastAsia" w:hAnsiTheme="minorEastAsia" w:eastAsiaTheme="minorEastAsia" w:cstheme="minorEastAsia"/>
          <w:b w:val="0"/>
          <w:bCs w:val="0"/>
          <w:color w:val="auto"/>
          <w:sz w:val="24"/>
          <w:szCs w:val="24"/>
        </w:rPr>
        <w:t>文件所提出的服务要求，选择具有最佳</w:t>
      </w:r>
      <w:r>
        <w:rPr>
          <w:rFonts w:hint="eastAsia" w:asciiTheme="minorEastAsia" w:hAnsiTheme="minorEastAsia" w:eastAsiaTheme="minorEastAsia" w:cstheme="minorEastAsia"/>
          <w:b w:val="0"/>
          <w:bCs w:val="0"/>
          <w:color w:val="auto"/>
          <w:sz w:val="24"/>
          <w:szCs w:val="24"/>
          <w:lang w:val="en-US" w:eastAsia="zh-CN"/>
        </w:rPr>
        <w:t>服务</w:t>
      </w:r>
      <w:r>
        <w:rPr>
          <w:rFonts w:hint="eastAsia" w:asciiTheme="minorEastAsia" w:hAnsiTheme="minorEastAsia" w:eastAsiaTheme="minorEastAsia" w:cstheme="minorEastAsia"/>
          <w:b w:val="0"/>
          <w:bCs w:val="0"/>
          <w:color w:val="auto"/>
          <w:sz w:val="24"/>
          <w:szCs w:val="24"/>
        </w:rPr>
        <w:t>前来投标，以充分显示贵公司的竞争实力。</w:t>
      </w:r>
      <w:r>
        <w:rPr>
          <w:rFonts w:hint="eastAsia" w:asciiTheme="minorEastAsia" w:hAnsiTheme="minorEastAsia" w:eastAsiaTheme="minorEastAsia" w:cstheme="minorEastAsia"/>
          <w:b w:val="0"/>
          <w:bCs w:val="0"/>
          <w:color w:val="auto"/>
          <w:sz w:val="24"/>
          <w:szCs w:val="24"/>
          <w:lang w:val="en-US" w:eastAsia="zh-CN"/>
        </w:rPr>
        <w:t>本项目属于企业采购，仅参照《中华人民共和国招标投标法》执行。</w:t>
      </w:r>
    </w:p>
    <w:p w14:paraId="4BBDC62F">
      <w:pPr>
        <w:pStyle w:val="4"/>
        <w:spacing w:before="1" w:line="360" w:lineRule="auto"/>
        <w:ind w:left="0" w:leftChars="0" w:firstLine="0" w:firstLineChars="0"/>
        <w:rPr>
          <w:rFonts w:hint="eastAsia" w:ascii="宋体" w:hAnsi="宋体" w:eastAsia="宋体" w:cs="宋体"/>
          <w:b/>
          <w:color w:val="auto"/>
          <w:sz w:val="24"/>
          <w:szCs w:val="24"/>
          <w:lang w:eastAsia="zh-CN"/>
        </w:rPr>
      </w:pPr>
      <w:r>
        <w:rPr>
          <w:rFonts w:hint="eastAsia" w:asciiTheme="minorEastAsia" w:hAnsiTheme="minorEastAsia" w:eastAsiaTheme="minorEastAsia" w:cstheme="minorEastAsia"/>
          <w:color w:val="auto"/>
        </w:rPr>
        <w:t>二、技术和服务要求</w:t>
      </w:r>
    </w:p>
    <w:p w14:paraId="09D7B633">
      <w:pPr>
        <w:pStyle w:val="26"/>
        <w:spacing w:before="105" w:after="150"/>
        <w:jc w:val="left"/>
        <w:rPr>
          <w:rFonts w:hint="eastAsia" w:ascii="宋体" w:hAnsi="宋体" w:eastAsia="宋体" w:cs="宋体"/>
          <w:b/>
          <w:color w:val="auto"/>
          <w:sz w:val="24"/>
          <w:lang w:val="en-US" w:eastAsia="zh-CN"/>
        </w:rPr>
      </w:pPr>
      <w:r>
        <w:rPr>
          <w:rFonts w:hint="eastAsia" w:ascii="宋体" w:hAnsi="宋体" w:eastAsia="宋体" w:cs="宋体"/>
          <w:b/>
          <w:color w:val="auto"/>
          <w:sz w:val="24"/>
          <w:lang w:eastAsia="zh-CN"/>
        </w:rPr>
        <w:t>采购包</w:t>
      </w:r>
      <w:r>
        <w:rPr>
          <w:rFonts w:hint="eastAsia" w:ascii="宋体" w:hAnsi="宋体" w:eastAsia="宋体" w:cs="宋体"/>
          <w:b/>
          <w:color w:val="auto"/>
          <w:sz w:val="24"/>
          <w:lang w:val="en-US" w:eastAsia="zh-CN"/>
        </w:rPr>
        <w:t>1：</w:t>
      </w:r>
    </w:p>
    <w:p w14:paraId="0ACCD46D">
      <w:pPr>
        <w:pStyle w:val="26"/>
        <w:spacing w:before="105" w:after="150"/>
        <w:jc w:val="left"/>
        <w:rPr>
          <w:rFonts w:hint="default" w:ascii="宋体" w:hAnsi="宋体" w:eastAsia="宋体" w:cs="宋体"/>
          <w:b/>
          <w:color w:val="auto"/>
          <w:sz w:val="24"/>
          <w:lang w:val="en-US" w:eastAsia="zh-CN"/>
        </w:rPr>
      </w:pPr>
      <w:r>
        <w:rPr>
          <w:rFonts w:hint="eastAsia" w:ascii="宋体" w:hAnsi="宋体" w:eastAsia="宋体" w:cs="宋体"/>
          <w:b/>
          <w:color w:val="auto"/>
          <w:sz w:val="24"/>
          <w:lang w:val="en-US" w:eastAsia="zh-CN"/>
        </w:rPr>
        <w:t>2.1.</w:t>
      </w:r>
      <w:r>
        <w:rPr>
          <w:rFonts w:hint="eastAsia" w:ascii="宋体" w:hAnsi="宋体" w:eastAsia="宋体" w:cs="宋体"/>
          <w:b/>
          <w:color w:val="auto"/>
          <w:sz w:val="24"/>
          <w:lang w:eastAsia="zh-CN"/>
        </w:rPr>
        <w:t>纯电动</w:t>
      </w:r>
      <w:r>
        <w:rPr>
          <w:rFonts w:hint="eastAsia" w:ascii="宋体" w:hAnsi="宋体" w:eastAsia="宋体" w:cs="宋体"/>
          <w:b/>
          <w:color w:val="auto"/>
          <w:sz w:val="24"/>
          <w:lang w:val="en-US" w:eastAsia="zh-CN"/>
        </w:rPr>
        <w:t>城郊版公交车</w:t>
      </w:r>
    </w:p>
    <w:tbl>
      <w:tblPr>
        <w:tblStyle w:val="18"/>
        <w:tblW w:w="98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4"/>
        <w:gridCol w:w="1601"/>
        <w:gridCol w:w="6015"/>
        <w:gridCol w:w="1110"/>
      </w:tblGrid>
      <w:tr w14:paraId="2ED55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690" w:type="dxa"/>
            <w:gridSpan w:val="3"/>
            <w:tcBorders>
              <w:top w:val="single" w:color="auto" w:sz="4" w:space="0"/>
              <w:left w:val="single" w:color="auto" w:sz="4" w:space="0"/>
              <w:bottom w:val="single" w:color="auto" w:sz="4" w:space="0"/>
              <w:right w:val="single" w:color="auto" w:sz="4" w:space="0"/>
            </w:tcBorders>
            <w:vAlign w:val="center"/>
          </w:tcPr>
          <w:p w14:paraId="1B583A89">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技术参数</w:t>
            </w:r>
          </w:p>
        </w:tc>
        <w:tc>
          <w:tcPr>
            <w:tcW w:w="1110" w:type="dxa"/>
            <w:tcBorders>
              <w:top w:val="single" w:color="auto" w:sz="4" w:space="0"/>
              <w:left w:val="single" w:color="auto" w:sz="4" w:space="0"/>
              <w:bottom w:val="single" w:color="auto" w:sz="4" w:space="0"/>
              <w:right w:val="single" w:color="auto" w:sz="4" w:space="0"/>
            </w:tcBorders>
            <w:vAlign w:val="center"/>
          </w:tcPr>
          <w:p w14:paraId="40C8BC40">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val="en-US" w:eastAsia="zh-CN"/>
              </w:rPr>
              <w:t>项号</w:t>
            </w:r>
          </w:p>
        </w:tc>
      </w:tr>
      <w:tr w14:paraId="07B91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6800428">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整车</w:t>
            </w:r>
            <w:r>
              <w:rPr>
                <w:rFonts w:hint="eastAsia" w:ascii="宋体" w:hAnsi="宋体" w:eastAsia="宋体" w:cs="宋体"/>
                <w:b w:val="0"/>
                <w:bCs/>
                <w:color w:val="auto"/>
                <w:sz w:val="24"/>
                <w:szCs w:val="24"/>
                <w:lang w:eastAsia="zh-CN"/>
              </w:rPr>
              <w:t>要求</w:t>
            </w:r>
          </w:p>
        </w:tc>
        <w:tc>
          <w:tcPr>
            <w:tcW w:w="6015" w:type="dxa"/>
            <w:tcBorders>
              <w:top w:val="single" w:color="auto" w:sz="4" w:space="0"/>
              <w:left w:val="single" w:color="auto" w:sz="4" w:space="0"/>
              <w:bottom w:val="single" w:color="auto" w:sz="4" w:space="0"/>
              <w:right w:val="single" w:color="auto" w:sz="4" w:space="0"/>
            </w:tcBorders>
            <w:shd w:val="clear" w:color="auto" w:fill="auto"/>
            <w:vAlign w:val="center"/>
          </w:tcPr>
          <w:p w14:paraId="1CC08E36">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车型</w:t>
            </w:r>
            <w:r>
              <w:rPr>
                <w:rFonts w:hint="eastAsia" w:ascii="宋体" w:hAnsi="宋体" w:eastAsia="宋体" w:cs="宋体"/>
                <w:b w:val="0"/>
                <w:bCs/>
                <w:color w:val="auto"/>
                <w:sz w:val="24"/>
                <w:szCs w:val="24"/>
                <w:lang w:val="en-US" w:eastAsia="zh-CN"/>
              </w:rPr>
              <w:t>为</w:t>
            </w:r>
            <w:r>
              <w:rPr>
                <w:rFonts w:hint="eastAsia" w:ascii="宋体" w:hAnsi="宋体" w:eastAsia="宋体" w:cs="宋体"/>
                <w:b w:val="0"/>
                <w:bCs/>
                <w:color w:val="auto"/>
                <w:sz w:val="24"/>
                <w:szCs w:val="24"/>
                <w:lang w:eastAsia="zh-CN"/>
              </w:rPr>
              <w:t>纯电动城市客车，必须是国家工信部《车辆生产企业及产品公告》目录中的产品，车厢内外噪音应符合国家标准。车型必须</w:t>
            </w:r>
            <w:r>
              <w:rPr>
                <w:rFonts w:hint="eastAsia" w:ascii="宋体" w:hAnsi="宋体" w:eastAsia="宋体" w:cs="宋体"/>
                <w:b w:val="0"/>
                <w:bCs/>
                <w:color w:val="auto"/>
                <w:sz w:val="24"/>
                <w:szCs w:val="24"/>
                <w:lang w:val="en-US" w:eastAsia="zh-CN"/>
              </w:rPr>
              <w:t>为</w:t>
            </w:r>
            <w:r>
              <w:rPr>
                <w:rFonts w:hint="eastAsia" w:ascii="宋体" w:hAnsi="宋体" w:eastAsia="宋体" w:cs="宋体"/>
                <w:b w:val="0"/>
                <w:bCs/>
                <w:color w:val="auto"/>
                <w:sz w:val="24"/>
                <w:szCs w:val="24"/>
                <w:lang w:eastAsia="zh-CN"/>
              </w:rPr>
              <w:t>《享受车船税减免优惠的节约能源使用新能源汽车车型目录》《减免车辆购置税的新能源汽车车型目录》《新能源汽车推广应用推荐车型目录》之一的新能源城市公交车</w:t>
            </w:r>
          </w:p>
        </w:tc>
        <w:tc>
          <w:tcPr>
            <w:tcW w:w="1110" w:type="dxa"/>
            <w:tcBorders>
              <w:top w:val="single" w:color="auto" w:sz="4" w:space="0"/>
              <w:left w:val="single" w:color="auto" w:sz="4" w:space="0"/>
              <w:bottom w:val="single" w:color="auto" w:sz="4" w:space="0"/>
              <w:right w:val="single" w:color="auto" w:sz="4" w:space="0"/>
            </w:tcBorders>
            <w:shd w:val="clear" w:color="auto" w:fill="auto"/>
            <w:vAlign w:val="center"/>
          </w:tcPr>
          <w:p w14:paraId="00DB92F2">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val="en-US" w:eastAsia="zh-CN"/>
              </w:rPr>
              <w:t>项号1</w:t>
            </w:r>
          </w:p>
        </w:tc>
      </w:tr>
      <w:tr w14:paraId="467F9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F91F88A">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总长</w:t>
            </w:r>
            <w:r>
              <w:rPr>
                <w:rFonts w:hint="eastAsia" w:ascii="宋体" w:hAnsi="宋体" w:eastAsia="宋体" w:cs="宋体"/>
                <w:b w:val="0"/>
                <w:bCs/>
                <w:color w:val="auto"/>
                <w:sz w:val="24"/>
                <w:szCs w:val="24"/>
                <w:lang w:val="en-US" w:eastAsia="zh-CN"/>
              </w:rPr>
              <w:t>x</w:t>
            </w:r>
            <w:r>
              <w:rPr>
                <w:rFonts w:hint="eastAsia" w:ascii="宋体" w:hAnsi="宋体" w:eastAsia="宋体" w:cs="宋体"/>
                <w:b w:val="0"/>
                <w:bCs/>
                <w:color w:val="auto"/>
                <w:sz w:val="24"/>
                <w:szCs w:val="24"/>
                <w:lang w:eastAsia="zh-CN"/>
              </w:rPr>
              <w:t>总宽</w:t>
            </w:r>
            <w:r>
              <w:rPr>
                <w:rFonts w:hint="eastAsia" w:ascii="宋体" w:hAnsi="宋体" w:eastAsia="宋体" w:cs="宋体"/>
                <w:b w:val="0"/>
                <w:bCs/>
                <w:color w:val="auto"/>
                <w:sz w:val="24"/>
                <w:szCs w:val="24"/>
                <w:lang w:val="en-US" w:eastAsia="zh-CN"/>
              </w:rPr>
              <w:t>x</w:t>
            </w:r>
            <w:r>
              <w:rPr>
                <w:rFonts w:hint="eastAsia" w:ascii="宋体" w:hAnsi="宋体" w:eastAsia="宋体" w:cs="宋体"/>
                <w:b w:val="0"/>
                <w:bCs/>
                <w:color w:val="auto"/>
                <w:sz w:val="24"/>
                <w:szCs w:val="24"/>
                <w:lang w:eastAsia="zh-CN"/>
              </w:rPr>
              <w:t>总高</w:t>
            </w:r>
          </w:p>
        </w:tc>
        <w:tc>
          <w:tcPr>
            <w:tcW w:w="6015" w:type="dxa"/>
            <w:tcBorders>
              <w:top w:val="single" w:color="auto" w:sz="4" w:space="0"/>
              <w:left w:val="single" w:color="auto" w:sz="4" w:space="0"/>
              <w:bottom w:val="single" w:color="auto" w:sz="4" w:space="0"/>
              <w:right w:val="single" w:color="auto" w:sz="4" w:space="0"/>
            </w:tcBorders>
            <w:shd w:val="clear" w:color="auto" w:fill="auto"/>
            <w:vAlign w:val="center"/>
          </w:tcPr>
          <w:p w14:paraId="792635D1">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长：</w:t>
            </w:r>
            <w:r>
              <w:rPr>
                <w:rFonts w:hint="eastAsia" w:ascii="宋体" w:hAnsi="宋体" w:eastAsia="宋体" w:cs="宋体"/>
                <w:b w:val="0"/>
                <w:bCs/>
                <w:color w:val="auto"/>
                <w:sz w:val="24"/>
                <w:szCs w:val="24"/>
                <w:lang w:val="en-US" w:eastAsia="zh-CN"/>
              </w:rPr>
              <w:t>10900</w:t>
            </w:r>
            <w:r>
              <w:rPr>
                <w:rFonts w:hint="eastAsia" w:ascii="宋体" w:hAnsi="宋体" w:eastAsia="宋体" w:cs="宋体"/>
                <w:b w:val="0"/>
                <w:bCs/>
                <w:color w:val="auto"/>
                <w:sz w:val="24"/>
                <w:szCs w:val="24"/>
                <w:lang w:eastAsia="zh-CN"/>
              </w:rPr>
              <w:t>mm</w:t>
            </w:r>
            <w:r>
              <w:rPr>
                <w:rFonts w:hint="eastAsia" w:ascii="宋体" w:hAnsi="宋体" w:eastAsia="宋体" w:cs="宋体"/>
                <w:b w:val="0"/>
                <w:bCs/>
                <w:color w:val="auto"/>
                <w:sz w:val="24"/>
                <w:szCs w:val="24"/>
                <w:lang w:val="en-US" w:eastAsia="zh-CN"/>
              </w:rPr>
              <w:t>-1100</w:t>
            </w:r>
            <w:r>
              <w:rPr>
                <w:rFonts w:hint="eastAsia" w:ascii="宋体" w:hAnsi="宋体" w:eastAsia="宋体" w:cs="宋体"/>
                <w:b w:val="0"/>
                <w:bCs/>
                <w:color w:val="auto"/>
                <w:sz w:val="24"/>
                <w:szCs w:val="24"/>
                <w:lang w:eastAsia="zh-CN"/>
              </w:rPr>
              <w:t>0mm，宽：2</w:t>
            </w:r>
            <w:r>
              <w:rPr>
                <w:rFonts w:hint="eastAsia" w:ascii="宋体" w:hAnsi="宋体" w:eastAsia="宋体" w:cs="宋体"/>
                <w:b w:val="0"/>
                <w:bCs/>
                <w:color w:val="auto"/>
                <w:sz w:val="24"/>
                <w:szCs w:val="24"/>
                <w:lang w:val="en-US" w:eastAsia="zh-CN"/>
              </w:rPr>
              <w:t>4</w:t>
            </w:r>
            <w:r>
              <w:rPr>
                <w:rFonts w:hint="eastAsia" w:ascii="宋体" w:hAnsi="宋体" w:eastAsia="宋体" w:cs="宋体"/>
                <w:b w:val="0"/>
                <w:bCs/>
                <w:color w:val="auto"/>
                <w:sz w:val="24"/>
                <w:szCs w:val="24"/>
                <w:lang w:eastAsia="zh-CN"/>
              </w:rPr>
              <w:t>50mm</w:t>
            </w:r>
            <w:r>
              <w:rPr>
                <w:rFonts w:hint="eastAsia" w:ascii="宋体" w:hAnsi="宋体" w:eastAsia="宋体" w:cs="宋体"/>
                <w:b w:val="0"/>
                <w:bCs/>
                <w:color w:val="auto"/>
                <w:sz w:val="24"/>
                <w:szCs w:val="24"/>
                <w:lang w:val="en-US" w:eastAsia="zh-CN"/>
              </w:rPr>
              <w:t>-25</w:t>
            </w:r>
            <w:r>
              <w:rPr>
                <w:rFonts w:hint="eastAsia" w:ascii="宋体" w:hAnsi="宋体" w:eastAsia="宋体" w:cs="宋体"/>
                <w:b w:val="0"/>
                <w:bCs/>
                <w:color w:val="auto"/>
                <w:sz w:val="24"/>
                <w:szCs w:val="24"/>
                <w:lang w:eastAsia="zh-CN"/>
              </w:rPr>
              <w:t>50mm，高：3</w:t>
            </w:r>
            <w:r>
              <w:rPr>
                <w:rFonts w:hint="eastAsia" w:ascii="宋体" w:hAnsi="宋体" w:eastAsia="宋体" w:cs="宋体"/>
                <w:b w:val="0"/>
                <w:bCs/>
                <w:color w:val="auto"/>
                <w:sz w:val="24"/>
                <w:szCs w:val="24"/>
                <w:lang w:val="en-US" w:eastAsia="zh-CN"/>
              </w:rPr>
              <w:t>45</w:t>
            </w:r>
            <w:r>
              <w:rPr>
                <w:rFonts w:hint="eastAsia" w:ascii="宋体" w:hAnsi="宋体" w:eastAsia="宋体" w:cs="宋体"/>
                <w:b w:val="0"/>
                <w:bCs/>
                <w:color w:val="auto"/>
                <w:sz w:val="24"/>
                <w:szCs w:val="24"/>
                <w:lang w:eastAsia="zh-CN"/>
              </w:rPr>
              <w:t>0mm</w:t>
            </w:r>
            <w:r>
              <w:rPr>
                <w:rFonts w:hint="eastAsia" w:ascii="宋体" w:hAnsi="宋体" w:eastAsia="宋体" w:cs="宋体"/>
                <w:b w:val="0"/>
                <w:bCs/>
                <w:color w:val="auto"/>
                <w:sz w:val="24"/>
                <w:szCs w:val="24"/>
                <w:lang w:val="en-US" w:eastAsia="zh-CN"/>
              </w:rPr>
              <w:t>-3600</w:t>
            </w:r>
            <w:r>
              <w:rPr>
                <w:rFonts w:hint="eastAsia" w:ascii="宋体" w:hAnsi="宋体" w:eastAsia="宋体" w:cs="宋体"/>
                <w:b w:val="0"/>
                <w:bCs/>
                <w:color w:val="auto"/>
                <w:sz w:val="24"/>
                <w:szCs w:val="24"/>
                <w:lang w:eastAsia="zh-CN"/>
              </w:rPr>
              <w:t>mm</w:t>
            </w:r>
          </w:p>
        </w:tc>
        <w:tc>
          <w:tcPr>
            <w:tcW w:w="1110" w:type="dxa"/>
            <w:tcBorders>
              <w:top w:val="single" w:color="auto" w:sz="4" w:space="0"/>
              <w:left w:val="single" w:color="auto" w:sz="4" w:space="0"/>
              <w:bottom w:val="single" w:color="auto" w:sz="4" w:space="0"/>
              <w:right w:val="single" w:color="auto" w:sz="4" w:space="0"/>
            </w:tcBorders>
            <w:shd w:val="clear" w:color="auto" w:fill="auto"/>
            <w:vAlign w:val="center"/>
          </w:tcPr>
          <w:p w14:paraId="37A91580">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val="en-US" w:eastAsia="zh-CN"/>
              </w:rPr>
              <w:t>项号2</w:t>
            </w:r>
          </w:p>
        </w:tc>
      </w:tr>
      <w:tr w14:paraId="2A6AE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1074" w:type="dxa"/>
            <w:vMerge w:val="restart"/>
            <w:tcBorders>
              <w:top w:val="single" w:color="auto" w:sz="4" w:space="0"/>
              <w:left w:val="single" w:color="auto" w:sz="4" w:space="0"/>
              <w:right w:val="single" w:color="auto" w:sz="4" w:space="0"/>
            </w:tcBorders>
            <w:vAlign w:val="center"/>
          </w:tcPr>
          <w:p w14:paraId="54BFDB0C">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val="en-US" w:eastAsia="zh-CN"/>
              </w:rPr>
              <w:t>三电</w:t>
            </w:r>
            <w:r>
              <w:rPr>
                <w:rFonts w:hint="eastAsia" w:ascii="宋体" w:hAnsi="宋体" w:eastAsia="宋体" w:cs="宋体"/>
                <w:b w:val="0"/>
                <w:bCs/>
                <w:color w:val="auto"/>
                <w:sz w:val="24"/>
                <w:szCs w:val="24"/>
                <w:lang w:eastAsia="zh-CN"/>
              </w:rPr>
              <w:t>系统</w:t>
            </w:r>
          </w:p>
        </w:tc>
        <w:tc>
          <w:tcPr>
            <w:tcW w:w="1601" w:type="dxa"/>
            <w:tcBorders>
              <w:top w:val="single" w:color="auto" w:sz="4" w:space="0"/>
              <w:left w:val="single" w:color="auto" w:sz="4" w:space="0"/>
              <w:bottom w:val="single" w:color="auto" w:sz="4" w:space="0"/>
              <w:right w:val="single" w:color="auto" w:sz="4" w:space="0"/>
            </w:tcBorders>
            <w:vAlign w:val="center"/>
          </w:tcPr>
          <w:p w14:paraId="6A9C90ED">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val="en-US" w:eastAsia="zh-CN"/>
              </w:rPr>
              <w:t>动力</w:t>
            </w:r>
            <w:r>
              <w:rPr>
                <w:rFonts w:hint="eastAsia" w:ascii="宋体" w:hAnsi="宋体" w:eastAsia="宋体" w:cs="宋体"/>
                <w:b w:val="0"/>
                <w:bCs/>
                <w:color w:val="auto"/>
                <w:sz w:val="24"/>
                <w:szCs w:val="24"/>
                <w:lang w:eastAsia="zh-CN"/>
              </w:rPr>
              <w:t>电池</w:t>
            </w:r>
          </w:p>
        </w:tc>
        <w:tc>
          <w:tcPr>
            <w:tcW w:w="6015" w:type="dxa"/>
            <w:tcBorders>
              <w:top w:val="single" w:color="auto" w:sz="4" w:space="0"/>
              <w:left w:val="single" w:color="auto" w:sz="4" w:space="0"/>
              <w:bottom w:val="single" w:color="auto" w:sz="4" w:space="0"/>
              <w:right w:val="single" w:color="auto" w:sz="4" w:space="0"/>
            </w:tcBorders>
            <w:vAlign w:val="center"/>
          </w:tcPr>
          <w:p w14:paraId="08F0A2B6">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采用最新磷酸铁锂电池，</w:t>
            </w:r>
            <w:r>
              <w:rPr>
                <w:rFonts w:hint="eastAsia" w:ascii="宋体" w:hAnsi="宋体" w:eastAsia="宋体" w:cs="宋体"/>
                <w:b w:val="0"/>
                <w:bCs/>
                <w:color w:val="auto"/>
                <w:sz w:val="24"/>
                <w:szCs w:val="24"/>
                <w:lang w:val="en-US" w:eastAsia="zh-CN"/>
              </w:rPr>
              <w:t>集成水冷，</w:t>
            </w:r>
            <w:r>
              <w:rPr>
                <w:rFonts w:hint="eastAsia" w:ascii="宋体" w:hAnsi="宋体" w:eastAsia="宋体" w:cs="宋体"/>
                <w:b w:val="0"/>
                <w:bCs/>
                <w:color w:val="auto"/>
                <w:sz w:val="24"/>
                <w:szCs w:val="24"/>
                <w:lang w:eastAsia="zh-CN"/>
              </w:rPr>
              <w:t>防护等级达到IP6</w:t>
            </w:r>
            <w:r>
              <w:rPr>
                <w:rFonts w:hint="eastAsia" w:ascii="宋体" w:hAnsi="宋体" w:eastAsia="宋体" w:cs="宋体"/>
                <w:b w:val="0"/>
                <w:bCs/>
                <w:color w:val="auto"/>
                <w:sz w:val="24"/>
                <w:szCs w:val="24"/>
                <w:lang w:val="en-US" w:eastAsia="zh-CN"/>
              </w:rPr>
              <w:t>9。整</w:t>
            </w:r>
            <w:r>
              <w:rPr>
                <w:rFonts w:hint="eastAsia" w:ascii="宋体" w:hAnsi="宋体" w:eastAsia="宋体" w:cs="宋体"/>
                <w:b w:val="0"/>
                <w:bCs/>
                <w:color w:val="auto"/>
                <w:sz w:val="24"/>
                <w:szCs w:val="24"/>
                <w:lang w:eastAsia="zh-CN"/>
              </w:rPr>
              <w:t>车电池</w:t>
            </w:r>
            <w:r>
              <w:rPr>
                <w:rFonts w:hint="eastAsia" w:ascii="宋体" w:hAnsi="宋体" w:eastAsia="宋体" w:cs="宋体"/>
                <w:b w:val="0"/>
                <w:bCs/>
                <w:color w:val="auto"/>
                <w:sz w:val="24"/>
                <w:szCs w:val="24"/>
                <w:lang w:val="en-US" w:eastAsia="zh-CN"/>
              </w:rPr>
              <w:t>电量</w:t>
            </w:r>
            <w:r>
              <w:rPr>
                <w:rFonts w:hint="eastAsia" w:ascii="宋体" w:hAnsi="宋体" w:eastAsia="宋体" w:cs="宋体"/>
                <w:b w:val="0"/>
                <w:bCs/>
                <w:color w:val="auto"/>
                <w:sz w:val="24"/>
                <w:szCs w:val="24"/>
                <w:lang w:eastAsia="zh-CN"/>
              </w:rPr>
              <w:t>≥</w:t>
            </w:r>
            <w:r>
              <w:rPr>
                <w:rFonts w:hint="eastAsia" w:ascii="宋体" w:hAnsi="宋体" w:eastAsia="宋体" w:cs="宋体"/>
                <w:b w:val="0"/>
                <w:bCs/>
                <w:color w:val="auto"/>
                <w:sz w:val="24"/>
                <w:szCs w:val="24"/>
                <w:lang w:val="en-US" w:eastAsia="zh-CN"/>
              </w:rPr>
              <w:t>170</w:t>
            </w:r>
            <w:r>
              <w:rPr>
                <w:rFonts w:hint="eastAsia" w:ascii="宋体" w:hAnsi="宋体" w:eastAsia="宋体" w:cs="宋体"/>
                <w:b w:val="0"/>
                <w:bCs/>
                <w:color w:val="auto"/>
                <w:sz w:val="24"/>
                <w:szCs w:val="24"/>
                <w:lang w:eastAsia="zh-CN"/>
              </w:rPr>
              <w:t>kwh。</w:t>
            </w:r>
          </w:p>
        </w:tc>
        <w:tc>
          <w:tcPr>
            <w:tcW w:w="1110" w:type="dxa"/>
            <w:tcBorders>
              <w:top w:val="single" w:color="auto" w:sz="4" w:space="0"/>
              <w:left w:val="single" w:color="auto" w:sz="4" w:space="0"/>
              <w:bottom w:val="single" w:color="auto" w:sz="4" w:space="0"/>
              <w:right w:val="single" w:color="auto" w:sz="4" w:space="0"/>
            </w:tcBorders>
            <w:vAlign w:val="center"/>
          </w:tcPr>
          <w:p w14:paraId="1690328B">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项号3</w:t>
            </w:r>
          </w:p>
        </w:tc>
      </w:tr>
      <w:tr w14:paraId="457C5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74" w:type="dxa"/>
            <w:vMerge w:val="continue"/>
            <w:tcBorders>
              <w:left w:val="single" w:color="auto" w:sz="4" w:space="0"/>
              <w:right w:val="single" w:color="auto" w:sz="4" w:space="0"/>
            </w:tcBorders>
            <w:vAlign w:val="center"/>
          </w:tcPr>
          <w:p w14:paraId="01C4B503">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right w:val="single" w:color="auto" w:sz="4" w:space="0"/>
            </w:tcBorders>
            <w:vAlign w:val="center"/>
          </w:tcPr>
          <w:p w14:paraId="3368960C">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w:t>
            </w:r>
            <w:r>
              <w:rPr>
                <w:rFonts w:hint="eastAsia" w:ascii="宋体" w:hAnsi="宋体" w:eastAsia="宋体" w:cs="宋体"/>
                <w:b w:val="0"/>
                <w:bCs/>
                <w:color w:val="auto"/>
                <w:sz w:val="24"/>
                <w:szCs w:val="24"/>
                <w:lang w:val="en-US" w:eastAsia="zh-CN"/>
              </w:rPr>
              <w:t>电</w:t>
            </w:r>
            <w:r>
              <w:rPr>
                <w:rFonts w:hint="eastAsia" w:ascii="宋体" w:hAnsi="宋体" w:eastAsia="宋体" w:cs="宋体"/>
                <w:b w:val="0"/>
                <w:bCs/>
                <w:color w:val="auto"/>
                <w:sz w:val="24"/>
                <w:szCs w:val="24"/>
                <w:lang w:eastAsia="zh-CN"/>
              </w:rPr>
              <w:t>控系统</w:t>
            </w:r>
          </w:p>
        </w:tc>
        <w:tc>
          <w:tcPr>
            <w:tcW w:w="6015" w:type="dxa"/>
            <w:tcBorders>
              <w:top w:val="single" w:color="auto" w:sz="4" w:space="0"/>
              <w:left w:val="single" w:color="auto" w:sz="4" w:space="0"/>
              <w:right w:val="single" w:color="auto" w:sz="4" w:space="0"/>
            </w:tcBorders>
            <w:vAlign w:val="center"/>
          </w:tcPr>
          <w:p w14:paraId="19C9703B">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整车控制器防护等级达到IP6</w:t>
            </w:r>
            <w:r>
              <w:rPr>
                <w:rFonts w:hint="eastAsia" w:ascii="宋体" w:hAnsi="宋体" w:eastAsia="宋体" w:cs="宋体"/>
                <w:b w:val="0"/>
                <w:bCs/>
                <w:color w:val="auto"/>
                <w:sz w:val="24"/>
                <w:szCs w:val="24"/>
                <w:lang w:val="en-US" w:eastAsia="zh-CN"/>
              </w:rPr>
              <w:t>8</w:t>
            </w:r>
            <w:r>
              <w:rPr>
                <w:rFonts w:hint="eastAsia" w:ascii="宋体" w:hAnsi="宋体" w:eastAsia="宋体" w:cs="宋体"/>
                <w:b w:val="0"/>
                <w:bCs/>
                <w:color w:val="auto"/>
                <w:sz w:val="24"/>
                <w:szCs w:val="24"/>
                <w:lang w:eastAsia="zh-CN"/>
              </w:rPr>
              <w:t>，采用</w:t>
            </w:r>
            <w:r>
              <w:rPr>
                <w:rFonts w:hint="eastAsia" w:ascii="宋体" w:hAnsi="宋体" w:eastAsia="宋体" w:cs="宋体"/>
                <w:b w:val="0"/>
                <w:bCs/>
                <w:color w:val="auto"/>
                <w:sz w:val="24"/>
                <w:szCs w:val="24"/>
                <w:lang w:val="en-US" w:eastAsia="zh-CN"/>
              </w:rPr>
              <w:t>五</w:t>
            </w:r>
            <w:r>
              <w:rPr>
                <w:rFonts w:hint="eastAsia" w:ascii="宋体" w:hAnsi="宋体" w:eastAsia="宋体" w:cs="宋体"/>
                <w:b w:val="0"/>
                <w:bCs/>
                <w:color w:val="auto"/>
                <w:sz w:val="24"/>
                <w:szCs w:val="24"/>
                <w:lang w:eastAsia="zh-CN"/>
              </w:rPr>
              <w:t>合一及以上，整车控制器采用</w:t>
            </w:r>
            <w:r>
              <w:rPr>
                <w:rFonts w:hint="eastAsia" w:ascii="宋体" w:hAnsi="宋体" w:eastAsia="宋体" w:cs="宋体"/>
                <w:b w:val="0"/>
                <w:bCs/>
                <w:color w:val="auto"/>
                <w:sz w:val="24"/>
                <w:szCs w:val="24"/>
                <w:lang w:val="en-US" w:eastAsia="zh-CN"/>
              </w:rPr>
              <w:t>三十二</w:t>
            </w:r>
            <w:r>
              <w:rPr>
                <w:rFonts w:hint="eastAsia" w:ascii="宋体" w:hAnsi="宋体" w:eastAsia="宋体" w:cs="宋体"/>
                <w:b w:val="0"/>
                <w:bCs/>
                <w:color w:val="auto"/>
                <w:sz w:val="24"/>
                <w:szCs w:val="24"/>
                <w:lang w:eastAsia="zh-CN"/>
              </w:rPr>
              <w:t>位双核处理器控制系统总成（</w:t>
            </w:r>
            <w:r>
              <w:rPr>
                <w:rFonts w:hint="eastAsia" w:ascii="宋体" w:hAnsi="宋体" w:eastAsia="宋体" w:cs="宋体"/>
                <w:b w:val="0"/>
                <w:bCs/>
                <w:color w:val="auto"/>
                <w:sz w:val="24"/>
                <w:szCs w:val="24"/>
                <w:lang w:val="en-US" w:eastAsia="zh-CN"/>
              </w:rPr>
              <w:t>投标人需</w:t>
            </w:r>
            <w:r>
              <w:rPr>
                <w:rFonts w:hint="eastAsia" w:ascii="宋体" w:hAnsi="宋体" w:eastAsia="宋体" w:cs="宋体"/>
                <w:b w:val="0"/>
                <w:bCs/>
                <w:color w:val="auto"/>
                <w:sz w:val="24"/>
                <w:szCs w:val="24"/>
                <w:lang w:eastAsia="zh-CN"/>
              </w:rPr>
              <w:t>提供</w:t>
            </w:r>
            <w:r>
              <w:rPr>
                <w:rFonts w:hint="eastAsia" w:ascii="宋体" w:hAnsi="宋体" w:eastAsia="宋体" w:cs="宋体"/>
                <w:b w:val="0"/>
                <w:bCs/>
                <w:color w:val="auto"/>
                <w:sz w:val="24"/>
                <w:szCs w:val="24"/>
                <w:lang w:val="en-US" w:eastAsia="zh-CN"/>
              </w:rPr>
              <w:t>国家认可第三方检测机构出具的检测报告复印件并加盖公章</w:t>
            </w:r>
            <w:r>
              <w:rPr>
                <w:rFonts w:hint="eastAsia" w:ascii="宋体" w:hAnsi="宋体" w:eastAsia="宋体" w:cs="宋体"/>
                <w:b w:val="0"/>
                <w:bCs/>
                <w:color w:val="auto"/>
                <w:sz w:val="24"/>
                <w:szCs w:val="24"/>
                <w:lang w:eastAsia="zh-CN"/>
              </w:rPr>
              <w:t>）</w:t>
            </w:r>
            <w:r>
              <w:rPr>
                <w:rFonts w:hint="eastAsia" w:ascii="宋体" w:hAnsi="宋体" w:eastAsia="宋体" w:cs="宋体"/>
                <w:b w:val="0"/>
                <w:bCs/>
                <w:color w:val="auto"/>
                <w:sz w:val="24"/>
                <w:szCs w:val="24"/>
                <w:lang w:val="en-US" w:eastAsia="zh-CN"/>
              </w:rPr>
              <w:t>。</w:t>
            </w:r>
          </w:p>
        </w:tc>
        <w:tc>
          <w:tcPr>
            <w:tcW w:w="1110" w:type="dxa"/>
            <w:tcBorders>
              <w:top w:val="single" w:color="auto" w:sz="4" w:space="0"/>
              <w:left w:val="single" w:color="auto" w:sz="4" w:space="0"/>
              <w:right w:val="single" w:color="auto" w:sz="4" w:space="0"/>
            </w:tcBorders>
            <w:vAlign w:val="center"/>
          </w:tcPr>
          <w:p w14:paraId="51680CC1">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val="en-US" w:eastAsia="zh-CN"/>
              </w:rPr>
              <w:t>项号4</w:t>
            </w:r>
          </w:p>
        </w:tc>
      </w:tr>
      <w:tr w14:paraId="034A5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left w:val="single" w:color="auto" w:sz="4" w:space="0"/>
              <w:bottom w:val="single" w:color="auto" w:sz="4" w:space="0"/>
              <w:right w:val="single" w:color="auto" w:sz="4" w:space="0"/>
            </w:tcBorders>
            <w:vAlign w:val="center"/>
          </w:tcPr>
          <w:p w14:paraId="06A88808">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5A23BFC5">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电机</w:t>
            </w:r>
          </w:p>
        </w:tc>
        <w:tc>
          <w:tcPr>
            <w:tcW w:w="6015" w:type="dxa"/>
            <w:tcBorders>
              <w:top w:val="single" w:color="auto" w:sz="4" w:space="0"/>
              <w:left w:val="single" w:color="auto" w:sz="4" w:space="0"/>
              <w:bottom w:val="single" w:color="auto" w:sz="4" w:space="0"/>
              <w:right w:val="single" w:color="auto" w:sz="4" w:space="0"/>
            </w:tcBorders>
            <w:vAlign w:val="center"/>
          </w:tcPr>
          <w:p w14:paraId="5AC75706">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永磁同步电机，电机防护等级达到IP6</w:t>
            </w:r>
            <w:r>
              <w:rPr>
                <w:rFonts w:hint="eastAsia" w:ascii="宋体" w:hAnsi="宋体" w:eastAsia="宋体" w:cs="宋体"/>
                <w:b w:val="0"/>
                <w:bCs/>
                <w:color w:val="auto"/>
                <w:sz w:val="24"/>
                <w:szCs w:val="24"/>
                <w:lang w:val="en-US" w:eastAsia="zh-CN"/>
              </w:rPr>
              <w:t>8，</w:t>
            </w:r>
            <w:r>
              <w:rPr>
                <w:rFonts w:hint="eastAsia" w:ascii="宋体" w:hAnsi="宋体" w:eastAsia="宋体" w:cs="宋体"/>
                <w:b w:val="0"/>
                <w:bCs/>
                <w:color w:val="auto"/>
                <w:sz w:val="24"/>
                <w:szCs w:val="24"/>
                <w:lang w:eastAsia="zh-CN"/>
              </w:rPr>
              <w:t>额定功率≥</w:t>
            </w:r>
            <w:r>
              <w:rPr>
                <w:rFonts w:hint="eastAsia" w:ascii="宋体" w:hAnsi="宋体" w:eastAsia="宋体" w:cs="宋体"/>
                <w:b w:val="0"/>
                <w:bCs/>
                <w:color w:val="auto"/>
                <w:sz w:val="24"/>
                <w:szCs w:val="24"/>
                <w:lang w:val="en-US" w:eastAsia="zh-CN"/>
              </w:rPr>
              <w:t>100</w:t>
            </w:r>
            <w:r>
              <w:rPr>
                <w:rFonts w:hint="eastAsia" w:ascii="宋体" w:hAnsi="宋体" w:eastAsia="宋体" w:cs="宋体"/>
                <w:b w:val="0"/>
                <w:bCs/>
                <w:color w:val="auto"/>
                <w:sz w:val="24"/>
                <w:szCs w:val="24"/>
                <w:lang w:eastAsia="zh-CN"/>
              </w:rPr>
              <w:t>kw，峰值功率≥</w:t>
            </w:r>
            <w:r>
              <w:rPr>
                <w:rFonts w:hint="eastAsia" w:ascii="宋体" w:hAnsi="宋体" w:eastAsia="宋体" w:cs="宋体"/>
                <w:b w:val="0"/>
                <w:bCs/>
                <w:color w:val="auto"/>
                <w:sz w:val="24"/>
                <w:szCs w:val="24"/>
                <w:lang w:val="en-US" w:eastAsia="zh-CN"/>
              </w:rPr>
              <w:t>20</w:t>
            </w:r>
            <w:r>
              <w:rPr>
                <w:rFonts w:hint="eastAsia" w:ascii="宋体" w:hAnsi="宋体" w:eastAsia="宋体" w:cs="宋体"/>
                <w:b w:val="0"/>
                <w:bCs/>
                <w:color w:val="auto"/>
                <w:sz w:val="24"/>
                <w:szCs w:val="24"/>
                <w:lang w:eastAsia="zh-CN"/>
              </w:rPr>
              <w:t>0kw</w:t>
            </w:r>
            <w:r>
              <w:rPr>
                <w:rFonts w:hint="eastAsia" w:ascii="宋体" w:hAnsi="宋体" w:eastAsia="宋体" w:cs="宋体"/>
                <w:b w:val="0"/>
                <w:bCs/>
                <w:color w:val="auto"/>
                <w:sz w:val="24"/>
                <w:szCs w:val="24"/>
                <w:lang w:val="en-US" w:eastAsia="zh-CN"/>
              </w:rPr>
              <w:t>。</w:t>
            </w:r>
          </w:p>
        </w:tc>
        <w:tc>
          <w:tcPr>
            <w:tcW w:w="1110" w:type="dxa"/>
            <w:tcBorders>
              <w:top w:val="single" w:color="auto" w:sz="4" w:space="0"/>
              <w:left w:val="single" w:color="auto" w:sz="4" w:space="0"/>
              <w:bottom w:val="single" w:color="auto" w:sz="4" w:space="0"/>
              <w:right w:val="single" w:color="auto" w:sz="4" w:space="0"/>
            </w:tcBorders>
            <w:vAlign w:val="center"/>
          </w:tcPr>
          <w:p w14:paraId="173E8773">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val="en-US" w:eastAsia="zh-CN"/>
              </w:rPr>
              <w:t>项号5</w:t>
            </w:r>
          </w:p>
        </w:tc>
      </w:tr>
      <w:tr w14:paraId="30764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74" w:type="dxa"/>
            <w:vMerge w:val="restart"/>
            <w:tcBorders>
              <w:top w:val="single" w:color="auto" w:sz="4" w:space="0"/>
              <w:left w:val="single" w:color="auto" w:sz="4" w:space="0"/>
              <w:bottom w:val="single" w:color="auto" w:sz="4" w:space="0"/>
              <w:right w:val="single" w:color="auto" w:sz="4" w:space="0"/>
            </w:tcBorders>
            <w:vAlign w:val="center"/>
          </w:tcPr>
          <w:p w14:paraId="037948DF">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val="en-US" w:eastAsia="zh-CN"/>
              </w:rPr>
              <w:t>转向</w:t>
            </w:r>
            <w:r>
              <w:rPr>
                <w:rFonts w:hint="eastAsia" w:ascii="宋体" w:hAnsi="宋体" w:eastAsia="宋体" w:cs="宋体"/>
                <w:b w:val="0"/>
                <w:bCs/>
                <w:color w:val="auto"/>
                <w:sz w:val="24"/>
                <w:szCs w:val="24"/>
                <w:lang w:eastAsia="zh-CN"/>
              </w:rPr>
              <w:t>系统</w:t>
            </w:r>
          </w:p>
        </w:tc>
        <w:tc>
          <w:tcPr>
            <w:tcW w:w="1601" w:type="dxa"/>
            <w:tcBorders>
              <w:top w:val="single" w:color="auto" w:sz="4" w:space="0"/>
              <w:left w:val="single" w:color="auto" w:sz="4" w:space="0"/>
              <w:bottom w:val="single" w:color="auto" w:sz="4" w:space="0"/>
              <w:right w:val="single" w:color="auto" w:sz="4" w:space="0"/>
            </w:tcBorders>
            <w:vAlign w:val="center"/>
          </w:tcPr>
          <w:p w14:paraId="33075006">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转向机</w:t>
            </w:r>
          </w:p>
        </w:tc>
        <w:tc>
          <w:tcPr>
            <w:tcW w:w="6015" w:type="dxa"/>
            <w:tcBorders>
              <w:top w:val="single" w:color="auto" w:sz="4" w:space="0"/>
              <w:left w:val="single" w:color="auto" w:sz="4" w:space="0"/>
              <w:bottom w:val="single" w:color="auto" w:sz="4" w:space="0"/>
              <w:right w:val="single" w:color="auto" w:sz="4" w:space="0"/>
            </w:tcBorders>
            <w:vAlign w:val="center"/>
          </w:tcPr>
          <w:p w14:paraId="6E85C0EE">
            <w:pPr>
              <w:pStyle w:val="26"/>
              <w:spacing w:before="105" w:after="150" w:line="360" w:lineRule="auto"/>
              <w:jc w:val="left"/>
              <w:rPr>
                <w:rFonts w:hint="default"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整体转向机</w:t>
            </w:r>
            <w:r>
              <w:rPr>
                <w:rFonts w:hint="eastAsia" w:ascii="宋体" w:hAnsi="宋体" w:eastAsia="宋体" w:cs="宋体"/>
                <w:b w:val="0"/>
                <w:bCs/>
                <w:color w:val="auto"/>
                <w:sz w:val="24"/>
                <w:szCs w:val="24"/>
                <w:lang w:val="en-US" w:eastAsia="zh-CN"/>
              </w:rPr>
              <w:t>。</w:t>
            </w:r>
          </w:p>
        </w:tc>
        <w:tc>
          <w:tcPr>
            <w:tcW w:w="1110" w:type="dxa"/>
            <w:tcBorders>
              <w:top w:val="single" w:color="auto" w:sz="4" w:space="0"/>
              <w:left w:val="single" w:color="auto" w:sz="4" w:space="0"/>
              <w:bottom w:val="single" w:color="auto" w:sz="4" w:space="0"/>
              <w:right w:val="single" w:color="auto" w:sz="4" w:space="0"/>
            </w:tcBorders>
            <w:vAlign w:val="center"/>
          </w:tcPr>
          <w:p w14:paraId="7FF1614B">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val="en-US" w:eastAsia="zh-CN"/>
              </w:rPr>
              <w:t>项号6</w:t>
            </w:r>
          </w:p>
        </w:tc>
      </w:tr>
      <w:tr w14:paraId="07D10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77C7C6AE">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19A850E2">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转向助力</w:t>
            </w:r>
          </w:p>
        </w:tc>
        <w:tc>
          <w:tcPr>
            <w:tcW w:w="6015" w:type="dxa"/>
            <w:tcBorders>
              <w:top w:val="single" w:color="auto" w:sz="4" w:space="0"/>
              <w:left w:val="single" w:color="auto" w:sz="4" w:space="0"/>
              <w:bottom w:val="single" w:color="auto" w:sz="4" w:space="0"/>
              <w:right w:val="single" w:color="auto" w:sz="4" w:space="0"/>
            </w:tcBorders>
            <w:vAlign w:val="center"/>
          </w:tcPr>
          <w:p w14:paraId="3ECEEB82">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采用</w:t>
            </w:r>
            <w:r>
              <w:rPr>
                <w:rFonts w:hint="eastAsia" w:ascii="宋体" w:hAnsi="宋体" w:eastAsia="宋体" w:cs="宋体"/>
                <w:b w:val="0"/>
                <w:bCs/>
                <w:color w:val="auto"/>
                <w:sz w:val="24"/>
                <w:szCs w:val="24"/>
                <w:lang w:val="en-US" w:eastAsia="zh-CN"/>
              </w:rPr>
              <w:t>电动双源</w:t>
            </w:r>
            <w:r>
              <w:rPr>
                <w:rFonts w:hint="eastAsia" w:ascii="宋体" w:hAnsi="宋体" w:eastAsia="宋体" w:cs="宋体"/>
                <w:b w:val="0"/>
                <w:bCs/>
                <w:color w:val="auto"/>
                <w:sz w:val="24"/>
                <w:szCs w:val="24"/>
                <w:lang w:eastAsia="zh-CN"/>
              </w:rPr>
              <w:t>转向控制器电动助力转向，方向盘角度可调。</w:t>
            </w:r>
          </w:p>
        </w:tc>
        <w:tc>
          <w:tcPr>
            <w:tcW w:w="1110" w:type="dxa"/>
            <w:tcBorders>
              <w:top w:val="single" w:color="auto" w:sz="4" w:space="0"/>
              <w:left w:val="single" w:color="auto" w:sz="4" w:space="0"/>
              <w:bottom w:val="single" w:color="auto" w:sz="4" w:space="0"/>
              <w:right w:val="single" w:color="auto" w:sz="4" w:space="0"/>
            </w:tcBorders>
            <w:vAlign w:val="center"/>
          </w:tcPr>
          <w:p w14:paraId="22CF367A">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val="en-US" w:eastAsia="zh-CN"/>
              </w:rPr>
              <w:t>项号7</w:t>
            </w:r>
          </w:p>
        </w:tc>
      </w:tr>
      <w:tr w14:paraId="0DECA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74" w:type="dxa"/>
            <w:tcBorders>
              <w:top w:val="single" w:color="auto" w:sz="4" w:space="0"/>
              <w:left w:val="single" w:color="auto" w:sz="4" w:space="0"/>
              <w:bottom w:val="single" w:color="auto" w:sz="4" w:space="0"/>
              <w:right w:val="single" w:color="auto" w:sz="4" w:space="0"/>
            </w:tcBorders>
            <w:vAlign w:val="center"/>
          </w:tcPr>
          <w:p w14:paraId="1A2CD62C">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悬架</w:t>
            </w:r>
          </w:p>
        </w:tc>
        <w:tc>
          <w:tcPr>
            <w:tcW w:w="1601" w:type="dxa"/>
            <w:tcBorders>
              <w:top w:val="single" w:color="auto" w:sz="4" w:space="0"/>
              <w:left w:val="single" w:color="auto" w:sz="4" w:space="0"/>
              <w:bottom w:val="single" w:color="auto" w:sz="4" w:space="0"/>
              <w:right w:val="single" w:color="auto" w:sz="4" w:space="0"/>
            </w:tcBorders>
            <w:vAlign w:val="center"/>
          </w:tcPr>
          <w:p w14:paraId="1793C66E">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型号、型式</w:t>
            </w:r>
          </w:p>
        </w:tc>
        <w:tc>
          <w:tcPr>
            <w:tcW w:w="6015" w:type="dxa"/>
            <w:tcBorders>
              <w:top w:val="single" w:color="auto" w:sz="4" w:space="0"/>
              <w:left w:val="single" w:color="auto" w:sz="4" w:space="0"/>
              <w:bottom w:val="single" w:color="auto" w:sz="4" w:space="0"/>
              <w:right w:val="single" w:color="auto" w:sz="4" w:space="0"/>
            </w:tcBorders>
            <w:vAlign w:val="center"/>
          </w:tcPr>
          <w:p w14:paraId="63B64265">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val="en-US" w:eastAsia="zh-CN"/>
              </w:rPr>
              <w:t>采用气囊</w:t>
            </w:r>
            <w:r>
              <w:rPr>
                <w:rFonts w:hint="eastAsia" w:ascii="宋体" w:hAnsi="宋体" w:eastAsia="宋体" w:cs="宋体"/>
                <w:b w:val="0"/>
                <w:bCs/>
                <w:color w:val="auto"/>
                <w:sz w:val="24"/>
                <w:szCs w:val="24"/>
                <w:lang w:eastAsia="zh-CN"/>
              </w:rPr>
              <w:t>悬架</w:t>
            </w:r>
          </w:p>
        </w:tc>
        <w:tc>
          <w:tcPr>
            <w:tcW w:w="1110" w:type="dxa"/>
            <w:tcBorders>
              <w:top w:val="single" w:color="auto" w:sz="4" w:space="0"/>
              <w:left w:val="single" w:color="auto" w:sz="4" w:space="0"/>
              <w:bottom w:val="single" w:color="auto" w:sz="4" w:space="0"/>
              <w:right w:val="single" w:color="auto" w:sz="4" w:space="0"/>
            </w:tcBorders>
            <w:vAlign w:val="center"/>
          </w:tcPr>
          <w:p w14:paraId="4C41B9D3">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项号8</w:t>
            </w:r>
          </w:p>
        </w:tc>
      </w:tr>
      <w:tr w14:paraId="75324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1074" w:type="dxa"/>
            <w:tcBorders>
              <w:top w:val="single" w:color="auto" w:sz="4" w:space="0"/>
              <w:left w:val="single" w:color="auto" w:sz="4" w:space="0"/>
              <w:bottom w:val="single" w:color="auto" w:sz="4" w:space="0"/>
              <w:right w:val="single" w:color="auto" w:sz="4" w:space="0"/>
            </w:tcBorders>
            <w:vAlign w:val="center"/>
          </w:tcPr>
          <w:p w14:paraId="6B3BD8CC">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前、</w:t>
            </w:r>
            <w:r>
              <w:rPr>
                <w:rFonts w:hint="eastAsia" w:ascii="宋体" w:hAnsi="宋体" w:eastAsia="宋体" w:cs="宋体"/>
                <w:b w:val="0"/>
                <w:bCs/>
                <w:color w:val="auto"/>
                <w:sz w:val="24"/>
                <w:szCs w:val="24"/>
                <w:lang w:val="en-US" w:eastAsia="zh-CN"/>
              </w:rPr>
              <w:t>后</w:t>
            </w:r>
            <w:r>
              <w:rPr>
                <w:rFonts w:hint="eastAsia" w:ascii="宋体" w:hAnsi="宋体" w:eastAsia="宋体" w:cs="宋体"/>
                <w:b w:val="0"/>
                <w:bCs/>
                <w:color w:val="auto"/>
                <w:sz w:val="24"/>
                <w:szCs w:val="24"/>
                <w:lang w:eastAsia="zh-CN"/>
              </w:rPr>
              <w:t>桥</w:t>
            </w:r>
          </w:p>
        </w:tc>
        <w:tc>
          <w:tcPr>
            <w:tcW w:w="1601" w:type="dxa"/>
            <w:tcBorders>
              <w:top w:val="single" w:color="auto" w:sz="4" w:space="0"/>
              <w:left w:val="single" w:color="auto" w:sz="4" w:space="0"/>
              <w:right w:val="single" w:color="auto" w:sz="4" w:space="0"/>
            </w:tcBorders>
            <w:vAlign w:val="center"/>
          </w:tcPr>
          <w:p w14:paraId="19B2AFAF">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▲型号、型式</w:t>
            </w:r>
          </w:p>
        </w:tc>
        <w:tc>
          <w:tcPr>
            <w:tcW w:w="6015" w:type="dxa"/>
            <w:tcBorders>
              <w:top w:val="single" w:color="auto" w:sz="4" w:space="0"/>
              <w:left w:val="single" w:color="auto" w:sz="4" w:space="0"/>
              <w:bottom w:val="single" w:color="auto" w:sz="4" w:space="0"/>
              <w:right w:val="single" w:color="auto" w:sz="4" w:space="0"/>
            </w:tcBorders>
            <w:vAlign w:val="center"/>
          </w:tcPr>
          <w:p w14:paraId="20D3CC3B">
            <w:pPr>
              <w:pStyle w:val="26"/>
              <w:spacing w:before="105" w:after="150" w:line="360" w:lineRule="auto"/>
              <w:jc w:val="left"/>
              <w:rPr>
                <w:rFonts w:hint="default"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轴荷：</w:t>
            </w:r>
            <w:r>
              <w:rPr>
                <w:rFonts w:hint="eastAsia" w:ascii="宋体" w:hAnsi="宋体" w:eastAsia="宋体" w:cs="宋体"/>
                <w:b w:val="0"/>
                <w:bCs/>
                <w:color w:val="auto"/>
                <w:sz w:val="24"/>
                <w:szCs w:val="24"/>
                <w:lang w:eastAsia="zh-CN"/>
              </w:rPr>
              <w:t>前≥</w:t>
            </w:r>
            <w:r>
              <w:rPr>
                <w:rFonts w:hint="eastAsia" w:ascii="宋体" w:hAnsi="宋体" w:eastAsia="宋体" w:cs="宋体"/>
                <w:b w:val="0"/>
                <w:bCs/>
                <w:color w:val="auto"/>
                <w:sz w:val="24"/>
                <w:szCs w:val="24"/>
                <w:lang w:val="en-US" w:eastAsia="zh-CN"/>
              </w:rPr>
              <w:t>4.5</w:t>
            </w:r>
            <w:r>
              <w:rPr>
                <w:rFonts w:hint="eastAsia" w:ascii="宋体" w:hAnsi="宋体" w:eastAsia="宋体" w:cs="宋体"/>
                <w:b w:val="0"/>
                <w:bCs/>
                <w:color w:val="auto"/>
                <w:sz w:val="24"/>
                <w:szCs w:val="24"/>
                <w:lang w:eastAsia="zh-CN"/>
              </w:rPr>
              <w:t>T，后≥</w:t>
            </w:r>
            <w:r>
              <w:rPr>
                <w:rFonts w:hint="eastAsia" w:ascii="宋体" w:hAnsi="宋体" w:eastAsia="宋体" w:cs="宋体"/>
                <w:b w:val="0"/>
                <w:bCs/>
                <w:color w:val="auto"/>
                <w:sz w:val="24"/>
                <w:szCs w:val="24"/>
                <w:lang w:val="en-US" w:eastAsia="zh-CN"/>
              </w:rPr>
              <w:t>10</w:t>
            </w:r>
            <w:r>
              <w:rPr>
                <w:rFonts w:hint="eastAsia" w:ascii="宋体" w:hAnsi="宋体" w:eastAsia="宋体" w:cs="宋体"/>
                <w:b w:val="0"/>
                <w:bCs/>
                <w:color w:val="auto"/>
                <w:sz w:val="24"/>
                <w:szCs w:val="24"/>
                <w:lang w:eastAsia="zh-CN"/>
              </w:rPr>
              <w:t>T；</w:t>
            </w:r>
            <w:r>
              <w:rPr>
                <w:rFonts w:hint="eastAsia" w:ascii="宋体" w:hAnsi="宋体" w:eastAsia="宋体" w:cs="宋体"/>
                <w:b w:val="0"/>
                <w:bCs/>
                <w:color w:val="auto"/>
                <w:sz w:val="24"/>
                <w:szCs w:val="24"/>
                <w:lang w:val="en-US" w:eastAsia="zh-CN"/>
              </w:rPr>
              <w:t>轴距</w:t>
            </w:r>
            <w:r>
              <w:rPr>
                <w:rFonts w:hint="eastAsia" w:ascii="宋体" w:hAnsi="宋体" w:eastAsia="宋体" w:cs="宋体"/>
                <w:b w:val="0"/>
                <w:bCs/>
                <w:color w:val="auto"/>
                <w:sz w:val="24"/>
                <w:szCs w:val="24"/>
                <w:lang w:eastAsia="zh-CN"/>
              </w:rPr>
              <w:t>≥</w:t>
            </w:r>
            <w:r>
              <w:rPr>
                <w:rFonts w:hint="eastAsia" w:ascii="宋体" w:hAnsi="宋体" w:eastAsia="宋体" w:cs="宋体"/>
                <w:b w:val="0"/>
                <w:bCs/>
                <w:color w:val="auto"/>
                <w:sz w:val="24"/>
                <w:szCs w:val="24"/>
                <w:lang w:val="en-US" w:eastAsia="zh-CN"/>
              </w:rPr>
              <w:t>6000mm</w:t>
            </w:r>
            <w:r>
              <w:rPr>
                <w:rFonts w:hint="eastAsia" w:ascii="宋体" w:hAnsi="宋体" w:eastAsia="宋体" w:cs="宋体"/>
                <w:b w:val="0"/>
                <w:bCs/>
                <w:color w:val="auto"/>
                <w:sz w:val="24"/>
                <w:szCs w:val="24"/>
                <w:lang w:eastAsia="zh-CN"/>
              </w:rPr>
              <w:t>（投标人需提供工信部公告截图并加盖公章）</w:t>
            </w:r>
            <w:r>
              <w:rPr>
                <w:rFonts w:hint="eastAsia" w:ascii="宋体" w:hAnsi="宋体" w:eastAsia="宋体" w:cs="宋体"/>
                <w:b w:val="0"/>
                <w:bCs/>
                <w:color w:val="auto"/>
                <w:sz w:val="24"/>
                <w:szCs w:val="24"/>
                <w:lang w:val="en-US" w:eastAsia="zh-CN"/>
              </w:rPr>
              <w:t>一体式轴承单元脂润滑免维护轮毂。</w:t>
            </w:r>
          </w:p>
        </w:tc>
        <w:tc>
          <w:tcPr>
            <w:tcW w:w="1110" w:type="dxa"/>
            <w:tcBorders>
              <w:top w:val="single" w:color="auto" w:sz="4" w:space="0"/>
              <w:left w:val="single" w:color="auto" w:sz="4" w:space="0"/>
              <w:bottom w:val="single" w:color="auto" w:sz="4" w:space="0"/>
              <w:right w:val="single" w:color="auto" w:sz="4" w:space="0"/>
            </w:tcBorders>
            <w:vAlign w:val="center"/>
          </w:tcPr>
          <w:p w14:paraId="3D51830A">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项号9</w:t>
            </w:r>
          </w:p>
        </w:tc>
      </w:tr>
      <w:tr w14:paraId="6220D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tcBorders>
              <w:top w:val="single" w:color="auto" w:sz="4" w:space="0"/>
              <w:left w:val="single" w:color="auto" w:sz="4" w:space="0"/>
              <w:bottom w:val="single" w:color="auto" w:sz="4" w:space="0"/>
              <w:right w:val="single" w:color="auto" w:sz="4" w:space="0"/>
            </w:tcBorders>
            <w:vAlign w:val="center"/>
          </w:tcPr>
          <w:p w14:paraId="094ECF09">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车轮</w:t>
            </w:r>
          </w:p>
        </w:tc>
        <w:tc>
          <w:tcPr>
            <w:tcW w:w="1601" w:type="dxa"/>
            <w:tcBorders>
              <w:top w:val="single" w:color="auto" w:sz="4" w:space="0"/>
              <w:left w:val="single" w:color="auto" w:sz="4" w:space="0"/>
              <w:bottom w:val="single" w:color="auto" w:sz="4" w:space="0"/>
              <w:right w:val="single" w:color="auto" w:sz="4" w:space="0"/>
            </w:tcBorders>
            <w:vAlign w:val="center"/>
          </w:tcPr>
          <w:p w14:paraId="6AD11385">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轮胎及ATS</w:t>
            </w:r>
          </w:p>
        </w:tc>
        <w:tc>
          <w:tcPr>
            <w:tcW w:w="6015" w:type="dxa"/>
            <w:tcBorders>
              <w:top w:val="single" w:color="auto" w:sz="4" w:space="0"/>
              <w:left w:val="single" w:color="auto" w:sz="4" w:space="0"/>
              <w:bottom w:val="single" w:color="auto" w:sz="4" w:space="0"/>
              <w:right w:val="single" w:color="auto" w:sz="4" w:space="0"/>
            </w:tcBorders>
            <w:vAlign w:val="center"/>
          </w:tcPr>
          <w:p w14:paraId="00AF9B7D">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val="en-US" w:eastAsia="zh-CN"/>
              </w:rPr>
              <w:t>铝合金轮圏</w:t>
            </w:r>
            <w:r>
              <w:rPr>
                <w:rFonts w:hint="eastAsia" w:ascii="宋体" w:hAnsi="宋体" w:eastAsia="宋体" w:cs="宋体"/>
                <w:b w:val="0"/>
                <w:bCs/>
                <w:color w:val="auto"/>
                <w:sz w:val="24"/>
                <w:szCs w:val="24"/>
                <w:lang w:eastAsia="zh-CN"/>
              </w:rPr>
              <w:t>，新能源</w:t>
            </w:r>
            <w:r>
              <w:rPr>
                <w:rFonts w:hint="eastAsia" w:ascii="宋体" w:hAnsi="宋体" w:eastAsia="宋体" w:cs="宋体"/>
                <w:b w:val="0"/>
                <w:bCs/>
                <w:color w:val="auto"/>
                <w:sz w:val="24"/>
                <w:szCs w:val="24"/>
                <w:lang w:val="en-US" w:eastAsia="zh-CN"/>
              </w:rPr>
              <w:t>城市客</w:t>
            </w:r>
            <w:r>
              <w:rPr>
                <w:rFonts w:hint="eastAsia" w:ascii="宋体" w:hAnsi="宋体" w:eastAsia="宋体" w:cs="宋体"/>
                <w:b w:val="0"/>
                <w:bCs/>
                <w:color w:val="auto"/>
                <w:sz w:val="24"/>
                <w:szCs w:val="24"/>
                <w:lang w:eastAsia="zh-CN"/>
              </w:rPr>
              <w:t>车专用真空轮胎（</w:t>
            </w:r>
            <w:r>
              <w:rPr>
                <w:rFonts w:hint="eastAsia" w:ascii="宋体" w:hAnsi="宋体" w:eastAsia="宋体" w:cs="宋体"/>
                <w:b w:val="0"/>
                <w:bCs/>
                <w:color w:val="auto"/>
                <w:sz w:val="24"/>
                <w:szCs w:val="24"/>
                <w:lang w:val="en-US" w:eastAsia="zh-CN"/>
              </w:rPr>
              <w:t>含备胎及轮圈</w:t>
            </w:r>
            <w:r>
              <w:rPr>
                <w:rFonts w:hint="eastAsia" w:ascii="宋体" w:hAnsi="宋体" w:eastAsia="宋体" w:cs="宋体"/>
                <w:b w:val="0"/>
                <w:bCs/>
                <w:color w:val="auto"/>
                <w:sz w:val="24"/>
                <w:szCs w:val="24"/>
                <w:lang w:eastAsia="zh-CN"/>
              </w:rPr>
              <w:t>）；</w:t>
            </w:r>
            <w:r>
              <w:rPr>
                <w:rFonts w:hint="eastAsia" w:ascii="宋体" w:hAnsi="宋体" w:eastAsia="宋体" w:cs="宋体"/>
                <w:b w:val="0"/>
                <w:bCs/>
                <w:color w:val="auto"/>
                <w:sz w:val="24"/>
                <w:szCs w:val="24"/>
                <w:lang w:val="en-US" w:eastAsia="zh-CN"/>
              </w:rPr>
              <w:t>胎压监测报警；</w:t>
            </w:r>
            <w:r>
              <w:rPr>
                <w:rFonts w:hint="eastAsia" w:ascii="宋体" w:hAnsi="宋体" w:eastAsia="宋体" w:cs="宋体"/>
                <w:b w:val="0"/>
                <w:bCs/>
                <w:color w:val="auto"/>
                <w:sz w:val="24"/>
                <w:szCs w:val="24"/>
                <w:lang w:eastAsia="zh-CN"/>
              </w:rPr>
              <w:t>ATS无刷电子风扇，采用纯铝水箱，散热快、易维护。</w:t>
            </w:r>
          </w:p>
        </w:tc>
        <w:tc>
          <w:tcPr>
            <w:tcW w:w="1110" w:type="dxa"/>
            <w:tcBorders>
              <w:top w:val="single" w:color="auto" w:sz="4" w:space="0"/>
              <w:left w:val="single" w:color="auto" w:sz="4" w:space="0"/>
              <w:bottom w:val="single" w:color="auto" w:sz="4" w:space="0"/>
              <w:right w:val="single" w:color="auto" w:sz="4" w:space="0"/>
            </w:tcBorders>
            <w:vAlign w:val="center"/>
          </w:tcPr>
          <w:p w14:paraId="430BEAC2">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项号10</w:t>
            </w:r>
          </w:p>
        </w:tc>
      </w:tr>
      <w:tr w14:paraId="78261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1074" w:type="dxa"/>
            <w:tcBorders>
              <w:top w:val="single" w:color="auto" w:sz="4" w:space="0"/>
              <w:left w:val="single" w:color="auto" w:sz="4" w:space="0"/>
              <w:bottom w:val="single" w:color="auto" w:sz="4" w:space="0"/>
              <w:right w:val="single" w:color="auto" w:sz="4" w:space="0"/>
            </w:tcBorders>
            <w:vAlign w:val="center"/>
          </w:tcPr>
          <w:p w14:paraId="20D84B3C">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散热冷却</w:t>
            </w:r>
          </w:p>
        </w:tc>
        <w:tc>
          <w:tcPr>
            <w:tcW w:w="1601" w:type="dxa"/>
            <w:tcBorders>
              <w:top w:val="single" w:color="auto" w:sz="4" w:space="0"/>
              <w:left w:val="single" w:color="auto" w:sz="4" w:space="0"/>
              <w:bottom w:val="single" w:color="auto" w:sz="4" w:space="0"/>
              <w:right w:val="single" w:color="auto" w:sz="4" w:space="0"/>
            </w:tcBorders>
            <w:vAlign w:val="center"/>
          </w:tcPr>
          <w:p w14:paraId="34F7CE9F">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散热冷却系统</w:t>
            </w:r>
          </w:p>
        </w:tc>
        <w:tc>
          <w:tcPr>
            <w:tcW w:w="6015" w:type="dxa"/>
            <w:tcBorders>
              <w:top w:val="single" w:color="auto" w:sz="4" w:space="0"/>
              <w:left w:val="single" w:color="auto" w:sz="4" w:space="0"/>
              <w:bottom w:val="single" w:color="auto" w:sz="4" w:space="0"/>
              <w:right w:val="single" w:color="auto" w:sz="4" w:space="0"/>
            </w:tcBorders>
            <w:vAlign w:val="center"/>
          </w:tcPr>
          <w:p w14:paraId="2624DF5B">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ICS智能冷却控制系统及电子风扇</w:t>
            </w:r>
          </w:p>
        </w:tc>
        <w:tc>
          <w:tcPr>
            <w:tcW w:w="1110" w:type="dxa"/>
            <w:tcBorders>
              <w:top w:val="single" w:color="auto" w:sz="4" w:space="0"/>
              <w:left w:val="single" w:color="auto" w:sz="4" w:space="0"/>
              <w:bottom w:val="single" w:color="auto" w:sz="4" w:space="0"/>
              <w:right w:val="single" w:color="auto" w:sz="4" w:space="0"/>
            </w:tcBorders>
            <w:vAlign w:val="center"/>
          </w:tcPr>
          <w:p w14:paraId="1289D915">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项号11</w:t>
            </w:r>
          </w:p>
        </w:tc>
      </w:tr>
      <w:tr w14:paraId="6A2F6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restart"/>
            <w:tcBorders>
              <w:top w:val="single" w:color="auto" w:sz="4" w:space="0"/>
              <w:left w:val="single" w:color="auto" w:sz="4" w:space="0"/>
              <w:bottom w:val="single" w:color="auto" w:sz="4" w:space="0"/>
              <w:right w:val="single" w:color="auto" w:sz="4" w:space="0"/>
            </w:tcBorders>
            <w:vAlign w:val="center"/>
          </w:tcPr>
          <w:p w14:paraId="5594FC44">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制动</w:t>
            </w:r>
          </w:p>
        </w:tc>
        <w:tc>
          <w:tcPr>
            <w:tcW w:w="1601" w:type="dxa"/>
            <w:tcBorders>
              <w:top w:val="single" w:color="auto" w:sz="4" w:space="0"/>
              <w:left w:val="single" w:color="auto" w:sz="4" w:space="0"/>
              <w:bottom w:val="single" w:color="auto" w:sz="4" w:space="0"/>
              <w:right w:val="single" w:color="auto" w:sz="4" w:space="0"/>
            </w:tcBorders>
            <w:vAlign w:val="center"/>
          </w:tcPr>
          <w:p w14:paraId="0F5B4CF2">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制动管路、总泵和分泵</w:t>
            </w:r>
          </w:p>
        </w:tc>
        <w:tc>
          <w:tcPr>
            <w:tcW w:w="6015" w:type="dxa"/>
            <w:tcBorders>
              <w:top w:val="single" w:color="auto" w:sz="4" w:space="0"/>
              <w:left w:val="single" w:color="auto" w:sz="4" w:space="0"/>
              <w:bottom w:val="single" w:color="auto" w:sz="4" w:space="0"/>
              <w:right w:val="single" w:color="auto" w:sz="4" w:space="0"/>
            </w:tcBorders>
            <w:vAlign w:val="center"/>
          </w:tcPr>
          <w:p w14:paraId="68CF50EE">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主管路布局合理、固定可靠，不得因车辆在运动过程中碰擦其他零部件。</w:t>
            </w:r>
          </w:p>
        </w:tc>
        <w:tc>
          <w:tcPr>
            <w:tcW w:w="1110" w:type="dxa"/>
            <w:tcBorders>
              <w:top w:val="single" w:color="auto" w:sz="4" w:space="0"/>
              <w:left w:val="single" w:color="auto" w:sz="4" w:space="0"/>
              <w:bottom w:val="single" w:color="auto" w:sz="4" w:space="0"/>
              <w:right w:val="single" w:color="auto" w:sz="4" w:space="0"/>
            </w:tcBorders>
            <w:vAlign w:val="center"/>
          </w:tcPr>
          <w:p w14:paraId="51D37D26">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项号12</w:t>
            </w:r>
          </w:p>
        </w:tc>
      </w:tr>
      <w:tr w14:paraId="235A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6F1C980E">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236C3491">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行车制动形式</w:t>
            </w:r>
          </w:p>
        </w:tc>
        <w:tc>
          <w:tcPr>
            <w:tcW w:w="6015" w:type="dxa"/>
            <w:tcBorders>
              <w:top w:val="single" w:color="auto" w:sz="4" w:space="0"/>
              <w:left w:val="single" w:color="auto" w:sz="4" w:space="0"/>
              <w:bottom w:val="single" w:color="auto" w:sz="4" w:space="0"/>
              <w:right w:val="single" w:color="auto" w:sz="4" w:space="0"/>
            </w:tcBorders>
            <w:vAlign w:val="center"/>
          </w:tcPr>
          <w:p w14:paraId="0613E503">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前、后盘刹</w:t>
            </w:r>
            <w:r>
              <w:rPr>
                <w:rFonts w:hint="eastAsia" w:ascii="宋体" w:hAnsi="宋体" w:eastAsia="宋体" w:cs="宋体"/>
                <w:b w:val="0"/>
                <w:bCs/>
                <w:color w:val="auto"/>
                <w:sz w:val="24"/>
                <w:szCs w:val="24"/>
                <w:lang w:val="en-US" w:eastAsia="zh-CN"/>
              </w:rPr>
              <w:t>(前后制动器22.5寸)</w:t>
            </w:r>
            <w:r>
              <w:rPr>
                <w:rFonts w:hint="eastAsia" w:ascii="宋体" w:hAnsi="宋体" w:eastAsia="宋体" w:cs="宋体"/>
                <w:b w:val="0"/>
                <w:bCs/>
                <w:color w:val="auto"/>
                <w:sz w:val="24"/>
                <w:szCs w:val="24"/>
                <w:lang w:eastAsia="zh-CN"/>
              </w:rPr>
              <w:t>，驱动电机回馈制动，气压制动。</w:t>
            </w:r>
          </w:p>
        </w:tc>
        <w:tc>
          <w:tcPr>
            <w:tcW w:w="1110" w:type="dxa"/>
            <w:tcBorders>
              <w:top w:val="single" w:color="auto" w:sz="4" w:space="0"/>
              <w:left w:val="single" w:color="auto" w:sz="4" w:space="0"/>
              <w:bottom w:val="single" w:color="auto" w:sz="4" w:space="0"/>
              <w:right w:val="single" w:color="auto" w:sz="4" w:space="0"/>
            </w:tcBorders>
            <w:vAlign w:val="center"/>
          </w:tcPr>
          <w:p w14:paraId="215BB58E">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项号13</w:t>
            </w:r>
          </w:p>
        </w:tc>
      </w:tr>
      <w:tr w14:paraId="5E3AF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44489B67">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67AEAAE5">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驻车制动形式</w:t>
            </w:r>
          </w:p>
        </w:tc>
        <w:tc>
          <w:tcPr>
            <w:tcW w:w="6015" w:type="dxa"/>
            <w:tcBorders>
              <w:top w:val="single" w:color="auto" w:sz="4" w:space="0"/>
              <w:left w:val="single" w:color="auto" w:sz="4" w:space="0"/>
              <w:bottom w:val="single" w:color="auto" w:sz="4" w:space="0"/>
              <w:right w:val="single" w:color="auto" w:sz="4" w:space="0"/>
            </w:tcBorders>
            <w:vAlign w:val="center"/>
          </w:tcPr>
          <w:p w14:paraId="2158E486">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手控操纵，储能弹簧制动（作用于后桥）；储气筒自动放水阀</w:t>
            </w:r>
          </w:p>
        </w:tc>
        <w:tc>
          <w:tcPr>
            <w:tcW w:w="1110" w:type="dxa"/>
            <w:tcBorders>
              <w:top w:val="single" w:color="auto" w:sz="4" w:space="0"/>
              <w:left w:val="single" w:color="auto" w:sz="4" w:space="0"/>
              <w:bottom w:val="single" w:color="auto" w:sz="4" w:space="0"/>
              <w:right w:val="single" w:color="auto" w:sz="4" w:space="0"/>
            </w:tcBorders>
            <w:vAlign w:val="center"/>
          </w:tcPr>
          <w:p w14:paraId="1CD1F57F">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项号14</w:t>
            </w:r>
          </w:p>
        </w:tc>
      </w:tr>
      <w:tr w14:paraId="65D5F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562EC802">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28073D70">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空压机</w:t>
            </w:r>
          </w:p>
        </w:tc>
        <w:tc>
          <w:tcPr>
            <w:tcW w:w="6015" w:type="dxa"/>
            <w:tcBorders>
              <w:top w:val="single" w:color="auto" w:sz="4" w:space="0"/>
              <w:left w:val="single" w:color="auto" w:sz="4" w:space="0"/>
              <w:bottom w:val="single" w:color="auto" w:sz="4" w:space="0"/>
              <w:right w:val="single" w:color="auto" w:sz="4" w:space="0"/>
            </w:tcBorders>
            <w:vAlign w:val="center"/>
          </w:tcPr>
          <w:p w14:paraId="225E3D55">
            <w:pPr>
              <w:pStyle w:val="26"/>
              <w:spacing w:before="105" w:after="150" w:line="360" w:lineRule="auto"/>
              <w:jc w:val="left"/>
              <w:rPr>
                <w:rFonts w:hint="default"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采用无油活塞电动打气泵，≥IP67防护，电机耐高温、抱死自动保护系统</w:t>
            </w:r>
            <w:r>
              <w:rPr>
                <w:rFonts w:hint="eastAsia" w:ascii="宋体" w:hAnsi="宋体" w:eastAsia="宋体" w:cs="宋体"/>
                <w:b w:val="0"/>
                <w:bCs/>
                <w:color w:val="auto"/>
                <w:sz w:val="24"/>
                <w:szCs w:val="24"/>
                <w:lang w:val="en-US" w:eastAsia="zh-CN"/>
              </w:rPr>
              <w:t xml:space="preserve"> 。</w:t>
            </w:r>
          </w:p>
        </w:tc>
        <w:tc>
          <w:tcPr>
            <w:tcW w:w="1110" w:type="dxa"/>
            <w:tcBorders>
              <w:top w:val="single" w:color="auto" w:sz="4" w:space="0"/>
              <w:left w:val="single" w:color="auto" w:sz="4" w:space="0"/>
              <w:bottom w:val="single" w:color="auto" w:sz="4" w:space="0"/>
              <w:right w:val="single" w:color="auto" w:sz="4" w:space="0"/>
            </w:tcBorders>
            <w:vAlign w:val="center"/>
          </w:tcPr>
          <w:p w14:paraId="43FA38F1">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项号15</w:t>
            </w:r>
          </w:p>
        </w:tc>
      </w:tr>
      <w:tr w14:paraId="5C91E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74" w:type="dxa"/>
            <w:vMerge w:val="restart"/>
            <w:tcBorders>
              <w:top w:val="single" w:color="auto" w:sz="4" w:space="0"/>
              <w:left w:val="single" w:color="auto" w:sz="4" w:space="0"/>
              <w:bottom w:val="single" w:color="auto" w:sz="4" w:space="0"/>
              <w:right w:val="single" w:color="auto" w:sz="4" w:space="0"/>
            </w:tcBorders>
            <w:vAlign w:val="center"/>
          </w:tcPr>
          <w:p w14:paraId="340EB18F">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空调系统配置</w:t>
            </w:r>
          </w:p>
        </w:tc>
        <w:tc>
          <w:tcPr>
            <w:tcW w:w="1601" w:type="dxa"/>
            <w:tcBorders>
              <w:top w:val="single" w:color="auto" w:sz="4" w:space="0"/>
              <w:left w:val="single" w:color="auto" w:sz="4" w:space="0"/>
              <w:bottom w:val="single" w:color="auto" w:sz="4" w:space="0"/>
              <w:right w:val="single" w:color="auto" w:sz="4" w:space="0"/>
            </w:tcBorders>
            <w:vAlign w:val="center"/>
          </w:tcPr>
          <w:p w14:paraId="4AFDA9BB">
            <w:pPr>
              <w:pStyle w:val="26"/>
              <w:spacing w:before="105" w:after="150" w:line="360" w:lineRule="auto"/>
              <w:jc w:val="left"/>
              <w:rPr>
                <w:rFonts w:hint="eastAsia" w:ascii="宋体" w:hAnsi="宋体" w:eastAsia="宋体" w:cs="宋体"/>
                <w:b w:val="0"/>
                <w:bCs/>
                <w:color w:val="auto"/>
                <w:sz w:val="24"/>
                <w:szCs w:val="24"/>
                <w:highlight w:val="yellow"/>
                <w:lang w:eastAsia="zh-CN"/>
              </w:rPr>
            </w:pPr>
            <w:r>
              <w:rPr>
                <w:rFonts w:hint="eastAsia" w:ascii="宋体" w:hAnsi="宋体" w:eastAsia="宋体" w:cs="宋体"/>
                <w:b w:val="0"/>
                <w:bCs/>
                <w:color w:val="auto"/>
                <w:sz w:val="24"/>
                <w:szCs w:val="24"/>
                <w:highlight w:val="none"/>
                <w:lang w:eastAsia="zh-CN"/>
              </w:rPr>
              <w:t>空调</w:t>
            </w:r>
          </w:p>
        </w:tc>
        <w:tc>
          <w:tcPr>
            <w:tcW w:w="6015" w:type="dxa"/>
            <w:tcBorders>
              <w:top w:val="single" w:color="auto" w:sz="4" w:space="0"/>
              <w:left w:val="single" w:color="auto" w:sz="4" w:space="0"/>
              <w:bottom w:val="single" w:color="auto" w:sz="4" w:space="0"/>
              <w:right w:val="single" w:color="auto" w:sz="4" w:space="0"/>
            </w:tcBorders>
            <w:vAlign w:val="center"/>
          </w:tcPr>
          <w:p w14:paraId="2B40CFC4">
            <w:pPr>
              <w:pStyle w:val="26"/>
              <w:spacing w:before="105" w:after="150" w:line="360" w:lineRule="auto"/>
              <w:jc w:val="left"/>
              <w:rPr>
                <w:rFonts w:hint="default"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满足运行环境要求</w:t>
            </w:r>
            <w:r>
              <w:rPr>
                <w:rFonts w:hint="eastAsia" w:ascii="宋体" w:hAnsi="宋体" w:eastAsia="宋体" w:cs="宋体"/>
                <w:b w:val="0"/>
                <w:bCs/>
                <w:color w:val="auto"/>
                <w:sz w:val="24"/>
                <w:szCs w:val="24"/>
                <w:lang w:eastAsia="zh-CN"/>
              </w:rPr>
              <w:t>。冷暖空调配置</w:t>
            </w:r>
            <w:r>
              <w:rPr>
                <w:rFonts w:hint="eastAsia" w:ascii="宋体" w:hAnsi="宋体" w:eastAsia="宋体" w:cs="宋体"/>
                <w:b w:val="0"/>
                <w:bCs/>
                <w:color w:val="auto"/>
                <w:sz w:val="24"/>
                <w:szCs w:val="24"/>
                <w:lang w:val="en-US" w:eastAsia="zh-CN"/>
              </w:rPr>
              <w:t>PTC加热，集成电池水冷系统，空调带新风功能。</w:t>
            </w:r>
          </w:p>
        </w:tc>
        <w:tc>
          <w:tcPr>
            <w:tcW w:w="1110" w:type="dxa"/>
            <w:tcBorders>
              <w:top w:val="single" w:color="auto" w:sz="4" w:space="0"/>
              <w:left w:val="single" w:color="auto" w:sz="4" w:space="0"/>
              <w:bottom w:val="single" w:color="auto" w:sz="4" w:space="0"/>
              <w:right w:val="single" w:color="auto" w:sz="4" w:space="0"/>
            </w:tcBorders>
            <w:vAlign w:val="center"/>
          </w:tcPr>
          <w:p w14:paraId="09E45FF7">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项号16</w:t>
            </w:r>
          </w:p>
        </w:tc>
      </w:tr>
      <w:tr w14:paraId="623F2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13B0B80D">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4F5C4D95">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天窗</w:t>
            </w:r>
          </w:p>
        </w:tc>
        <w:tc>
          <w:tcPr>
            <w:tcW w:w="6015" w:type="dxa"/>
            <w:tcBorders>
              <w:top w:val="single" w:color="auto" w:sz="4" w:space="0"/>
              <w:left w:val="single" w:color="auto" w:sz="4" w:space="0"/>
              <w:bottom w:val="single" w:color="auto" w:sz="4" w:space="0"/>
              <w:right w:val="single" w:color="auto" w:sz="4" w:space="0"/>
            </w:tcBorders>
            <w:vAlign w:val="center"/>
          </w:tcPr>
          <w:p w14:paraId="1186DEAB">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采用安全逃生窗（带换气扇）。</w:t>
            </w:r>
          </w:p>
        </w:tc>
        <w:tc>
          <w:tcPr>
            <w:tcW w:w="1110" w:type="dxa"/>
            <w:tcBorders>
              <w:top w:val="single" w:color="auto" w:sz="4" w:space="0"/>
              <w:left w:val="single" w:color="auto" w:sz="4" w:space="0"/>
              <w:bottom w:val="single" w:color="auto" w:sz="4" w:space="0"/>
              <w:right w:val="single" w:color="auto" w:sz="4" w:space="0"/>
            </w:tcBorders>
            <w:vAlign w:val="center"/>
          </w:tcPr>
          <w:p w14:paraId="53B0E57C">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项号17</w:t>
            </w:r>
          </w:p>
        </w:tc>
      </w:tr>
      <w:tr w14:paraId="10969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309453FE">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7F3ACD93">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除霜</w:t>
            </w:r>
          </w:p>
        </w:tc>
        <w:tc>
          <w:tcPr>
            <w:tcW w:w="6015" w:type="dxa"/>
            <w:tcBorders>
              <w:top w:val="single" w:color="auto" w:sz="4" w:space="0"/>
              <w:left w:val="single" w:color="auto" w:sz="4" w:space="0"/>
              <w:bottom w:val="single" w:color="auto" w:sz="4" w:space="0"/>
              <w:right w:val="single" w:color="auto" w:sz="4" w:space="0"/>
            </w:tcBorders>
            <w:vAlign w:val="center"/>
          </w:tcPr>
          <w:p w14:paraId="56E5A972">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val="en-US" w:eastAsia="zh-CN"/>
              </w:rPr>
              <w:t>高压</w:t>
            </w:r>
            <w:r>
              <w:rPr>
                <w:rFonts w:hint="eastAsia" w:ascii="宋体" w:hAnsi="宋体" w:eastAsia="宋体" w:cs="宋体"/>
                <w:b w:val="0"/>
                <w:bCs/>
                <w:color w:val="auto"/>
                <w:sz w:val="24"/>
                <w:szCs w:val="24"/>
                <w:lang w:eastAsia="zh-CN"/>
              </w:rPr>
              <w:t>电除霜</w:t>
            </w:r>
          </w:p>
        </w:tc>
        <w:tc>
          <w:tcPr>
            <w:tcW w:w="1110" w:type="dxa"/>
            <w:tcBorders>
              <w:top w:val="single" w:color="auto" w:sz="4" w:space="0"/>
              <w:left w:val="single" w:color="auto" w:sz="4" w:space="0"/>
              <w:bottom w:val="single" w:color="auto" w:sz="4" w:space="0"/>
              <w:right w:val="single" w:color="auto" w:sz="4" w:space="0"/>
            </w:tcBorders>
            <w:vAlign w:val="center"/>
          </w:tcPr>
          <w:p w14:paraId="089B83E3">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项号18</w:t>
            </w:r>
          </w:p>
        </w:tc>
      </w:tr>
      <w:tr w14:paraId="5803E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tcBorders>
              <w:top w:val="single" w:color="auto" w:sz="4" w:space="0"/>
              <w:left w:val="single" w:color="auto" w:sz="4" w:space="0"/>
              <w:bottom w:val="single" w:color="auto" w:sz="4" w:space="0"/>
              <w:right w:val="single" w:color="auto" w:sz="4" w:space="0"/>
            </w:tcBorders>
            <w:vAlign w:val="center"/>
          </w:tcPr>
          <w:p w14:paraId="66C9967C">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风道</w:t>
            </w:r>
          </w:p>
        </w:tc>
        <w:tc>
          <w:tcPr>
            <w:tcW w:w="1601" w:type="dxa"/>
            <w:tcBorders>
              <w:top w:val="single" w:color="auto" w:sz="4" w:space="0"/>
              <w:left w:val="single" w:color="auto" w:sz="4" w:space="0"/>
              <w:bottom w:val="single" w:color="auto" w:sz="4" w:space="0"/>
              <w:right w:val="single" w:color="auto" w:sz="4" w:space="0"/>
            </w:tcBorders>
            <w:vAlign w:val="center"/>
          </w:tcPr>
          <w:p w14:paraId="1DFBC533">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风道及出风口</w:t>
            </w:r>
          </w:p>
        </w:tc>
        <w:tc>
          <w:tcPr>
            <w:tcW w:w="6015" w:type="dxa"/>
            <w:tcBorders>
              <w:top w:val="single" w:color="auto" w:sz="4" w:space="0"/>
              <w:left w:val="single" w:color="auto" w:sz="4" w:space="0"/>
              <w:bottom w:val="single" w:color="auto" w:sz="4" w:space="0"/>
              <w:right w:val="single" w:color="auto" w:sz="4" w:space="0"/>
            </w:tcBorders>
            <w:vAlign w:val="center"/>
          </w:tcPr>
          <w:p w14:paraId="16FDB352">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PU发泡风道带出风口，无双边内行李架设计</w:t>
            </w:r>
          </w:p>
        </w:tc>
        <w:tc>
          <w:tcPr>
            <w:tcW w:w="1110" w:type="dxa"/>
            <w:tcBorders>
              <w:top w:val="single" w:color="auto" w:sz="4" w:space="0"/>
              <w:left w:val="single" w:color="auto" w:sz="4" w:space="0"/>
              <w:bottom w:val="single" w:color="auto" w:sz="4" w:space="0"/>
              <w:right w:val="single" w:color="auto" w:sz="4" w:space="0"/>
            </w:tcBorders>
            <w:vAlign w:val="center"/>
          </w:tcPr>
          <w:p w14:paraId="1F6F94F3">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项号19</w:t>
            </w:r>
          </w:p>
        </w:tc>
      </w:tr>
      <w:tr w14:paraId="6F162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74" w:type="dxa"/>
            <w:vMerge w:val="restart"/>
            <w:tcBorders>
              <w:top w:val="single" w:color="auto" w:sz="4" w:space="0"/>
              <w:left w:val="single" w:color="auto" w:sz="4" w:space="0"/>
              <w:bottom w:val="single" w:color="auto" w:sz="4" w:space="0"/>
              <w:right w:val="single" w:color="auto" w:sz="4" w:space="0"/>
            </w:tcBorders>
            <w:vAlign w:val="center"/>
          </w:tcPr>
          <w:p w14:paraId="118188D7">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车身配置</w:t>
            </w:r>
          </w:p>
        </w:tc>
        <w:tc>
          <w:tcPr>
            <w:tcW w:w="1601" w:type="dxa"/>
            <w:tcBorders>
              <w:top w:val="single" w:color="auto" w:sz="4" w:space="0"/>
              <w:left w:val="single" w:color="auto" w:sz="4" w:space="0"/>
              <w:bottom w:val="single" w:color="auto" w:sz="4" w:space="0"/>
              <w:right w:val="single" w:color="auto" w:sz="4" w:space="0"/>
            </w:tcBorders>
            <w:vAlign w:val="center"/>
          </w:tcPr>
          <w:p w14:paraId="30B24CDF">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▲整车结构</w:t>
            </w:r>
          </w:p>
        </w:tc>
        <w:tc>
          <w:tcPr>
            <w:tcW w:w="6015" w:type="dxa"/>
            <w:tcBorders>
              <w:top w:val="single" w:color="auto" w:sz="4" w:space="0"/>
              <w:left w:val="single" w:color="auto" w:sz="4" w:space="0"/>
              <w:bottom w:val="single" w:color="auto" w:sz="4" w:space="0"/>
              <w:right w:val="single" w:color="auto" w:sz="4" w:space="0"/>
            </w:tcBorders>
            <w:vAlign w:val="center"/>
          </w:tcPr>
          <w:p w14:paraId="555E7AB4">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整车需采用全承载结构，轻量化车身，车身前后围采用整体冲压件，最大总质量不大于1</w:t>
            </w:r>
            <w:r>
              <w:rPr>
                <w:rFonts w:hint="eastAsia" w:ascii="宋体" w:hAnsi="宋体" w:eastAsia="宋体" w:cs="宋体"/>
                <w:b w:val="0"/>
                <w:bCs/>
                <w:color w:val="auto"/>
                <w:sz w:val="24"/>
                <w:szCs w:val="24"/>
                <w:lang w:val="en-US" w:eastAsia="zh-CN"/>
              </w:rPr>
              <w:t>50</w:t>
            </w:r>
            <w:r>
              <w:rPr>
                <w:rFonts w:hint="eastAsia" w:ascii="宋体" w:hAnsi="宋体" w:eastAsia="宋体" w:cs="宋体"/>
                <w:b w:val="0"/>
                <w:bCs/>
                <w:color w:val="auto"/>
                <w:sz w:val="24"/>
                <w:szCs w:val="24"/>
                <w:lang w:eastAsia="zh-CN"/>
              </w:rPr>
              <w:t>00kg。（投标人需提供工信部公告截图并加盖公章）</w:t>
            </w:r>
          </w:p>
        </w:tc>
        <w:tc>
          <w:tcPr>
            <w:tcW w:w="1110" w:type="dxa"/>
            <w:tcBorders>
              <w:top w:val="single" w:color="auto" w:sz="4" w:space="0"/>
              <w:left w:val="single" w:color="auto" w:sz="4" w:space="0"/>
              <w:bottom w:val="single" w:color="auto" w:sz="4" w:space="0"/>
              <w:right w:val="single" w:color="auto" w:sz="4" w:space="0"/>
            </w:tcBorders>
            <w:vAlign w:val="center"/>
          </w:tcPr>
          <w:p w14:paraId="583E7BFE">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项号20</w:t>
            </w:r>
          </w:p>
        </w:tc>
      </w:tr>
      <w:tr w14:paraId="67437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74" w:type="dxa"/>
            <w:vMerge w:val="continue"/>
            <w:tcBorders>
              <w:left w:val="single" w:color="auto" w:sz="4" w:space="0"/>
              <w:right w:val="single" w:color="auto" w:sz="4" w:space="0"/>
            </w:tcBorders>
            <w:vAlign w:val="center"/>
          </w:tcPr>
          <w:p w14:paraId="3255AE82">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28D40451">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集中润滑</w:t>
            </w:r>
          </w:p>
        </w:tc>
        <w:tc>
          <w:tcPr>
            <w:tcW w:w="6015" w:type="dxa"/>
            <w:tcBorders>
              <w:top w:val="single" w:color="auto" w:sz="4" w:space="0"/>
              <w:left w:val="single" w:color="auto" w:sz="4" w:space="0"/>
              <w:bottom w:val="single" w:color="auto" w:sz="4" w:space="0"/>
              <w:right w:val="single" w:color="auto" w:sz="4" w:space="0"/>
            </w:tcBorders>
            <w:vAlign w:val="center"/>
          </w:tcPr>
          <w:p w14:paraId="75507D5A">
            <w:pPr>
              <w:pStyle w:val="26"/>
              <w:spacing w:before="105" w:after="150" w:line="360" w:lineRule="auto"/>
              <w:jc w:val="left"/>
              <w:rPr>
                <w:rFonts w:hint="default"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集中润滑系统。</w:t>
            </w:r>
          </w:p>
        </w:tc>
        <w:tc>
          <w:tcPr>
            <w:tcW w:w="1110" w:type="dxa"/>
            <w:tcBorders>
              <w:top w:val="single" w:color="auto" w:sz="4" w:space="0"/>
              <w:left w:val="single" w:color="auto" w:sz="4" w:space="0"/>
              <w:bottom w:val="single" w:color="auto" w:sz="4" w:space="0"/>
              <w:right w:val="single" w:color="auto" w:sz="4" w:space="0"/>
            </w:tcBorders>
            <w:vAlign w:val="center"/>
          </w:tcPr>
          <w:p w14:paraId="436BDB96">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项号21</w:t>
            </w:r>
          </w:p>
        </w:tc>
      </w:tr>
      <w:tr w14:paraId="0C74C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5FC97F01">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0052F68B">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乘客门</w:t>
            </w:r>
          </w:p>
        </w:tc>
        <w:tc>
          <w:tcPr>
            <w:tcW w:w="6015" w:type="dxa"/>
            <w:tcBorders>
              <w:top w:val="single" w:color="auto" w:sz="4" w:space="0"/>
              <w:left w:val="single" w:color="auto" w:sz="4" w:space="0"/>
              <w:bottom w:val="single" w:color="auto" w:sz="4" w:space="0"/>
              <w:right w:val="single" w:color="auto" w:sz="4" w:space="0"/>
            </w:tcBorders>
            <w:vAlign w:val="center"/>
          </w:tcPr>
          <w:p w14:paraId="602E5566">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前、中遥控外摆乘客门。</w:t>
            </w:r>
          </w:p>
        </w:tc>
        <w:tc>
          <w:tcPr>
            <w:tcW w:w="1110" w:type="dxa"/>
            <w:tcBorders>
              <w:top w:val="single" w:color="auto" w:sz="4" w:space="0"/>
              <w:left w:val="single" w:color="auto" w:sz="4" w:space="0"/>
              <w:bottom w:val="single" w:color="auto" w:sz="4" w:space="0"/>
              <w:right w:val="single" w:color="auto" w:sz="4" w:space="0"/>
            </w:tcBorders>
            <w:vAlign w:val="center"/>
          </w:tcPr>
          <w:p w14:paraId="37D7939F">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项号22</w:t>
            </w:r>
          </w:p>
        </w:tc>
      </w:tr>
      <w:tr w14:paraId="6E837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1B931FD2">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14C4DEAA">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侧窗玻璃</w:t>
            </w:r>
          </w:p>
        </w:tc>
        <w:tc>
          <w:tcPr>
            <w:tcW w:w="6015" w:type="dxa"/>
            <w:tcBorders>
              <w:top w:val="single" w:color="auto" w:sz="4" w:space="0"/>
              <w:left w:val="single" w:color="auto" w:sz="4" w:space="0"/>
              <w:bottom w:val="single" w:color="auto" w:sz="4" w:space="0"/>
              <w:right w:val="single" w:color="auto" w:sz="4" w:space="0"/>
            </w:tcBorders>
            <w:vAlign w:val="center"/>
          </w:tcPr>
          <w:p w14:paraId="7536CC9C">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val="en-US" w:eastAsia="zh-CN"/>
              </w:rPr>
              <w:t>侧窗</w:t>
            </w:r>
            <w:r>
              <w:rPr>
                <w:rFonts w:hint="eastAsia" w:ascii="宋体" w:hAnsi="宋体" w:eastAsia="宋体" w:cs="宋体"/>
                <w:b w:val="0"/>
                <w:bCs/>
                <w:color w:val="auto"/>
                <w:sz w:val="24"/>
                <w:szCs w:val="24"/>
                <w:lang w:eastAsia="zh-CN"/>
              </w:rPr>
              <w:t>绿色钢化玻璃，</w:t>
            </w:r>
            <w:r>
              <w:rPr>
                <w:rFonts w:hint="eastAsia" w:ascii="宋体" w:hAnsi="宋体" w:eastAsia="宋体" w:cs="宋体"/>
                <w:b w:val="0"/>
                <w:bCs/>
                <w:color w:val="auto"/>
                <w:sz w:val="24"/>
                <w:szCs w:val="24"/>
                <w:lang w:val="en-US" w:eastAsia="zh-CN"/>
              </w:rPr>
              <w:t>左右各二扇外推应急窗，车内配置</w:t>
            </w:r>
            <w:r>
              <w:rPr>
                <w:rFonts w:hint="eastAsia" w:ascii="宋体" w:hAnsi="宋体" w:eastAsia="宋体" w:cs="宋体"/>
                <w:b w:val="0"/>
                <w:bCs/>
                <w:color w:val="auto"/>
                <w:sz w:val="24"/>
                <w:szCs w:val="24"/>
                <w:lang w:eastAsia="zh-CN"/>
              </w:rPr>
              <w:t>带响防盗安全锤。</w:t>
            </w:r>
          </w:p>
        </w:tc>
        <w:tc>
          <w:tcPr>
            <w:tcW w:w="1110" w:type="dxa"/>
            <w:tcBorders>
              <w:top w:val="single" w:color="auto" w:sz="4" w:space="0"/>
              <w:left w:val="single" w:color="auto" w:sz="4" w:space="0"/>
              <w:bottom w:val="single" w:color="auto" w:sz="4" w:space="0"/>
              <w:right w:val="single" w:color="auto" w:sz="4" w:space="0"/>
            </w:tcBorders>
            <w:vAlign w:val="center"/>
          </w:tcPr>
          <w:p w14:paraId="4BE95F42">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项号23</w:t>
            </w:r>
          </w:p>
        </w:tc>
      </w:tr>
      <w:tr w14:paraId="06951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1BFF1072">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6F7325C0">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前/后风挡</w:t>
            </w:r>
          </w:p>
        </w:tc>
        <w:tc>
          <w:tcPr>
            <w:tcW w:w="6015" w:type="dxa"/>
            <w:tcBorders>
              <w:top w:val="single" w:color="auto" w:sz="4" w:space="0"/>
              <w:left w:val="single" w:color="auto" w:sz="4" w:space="0"/>
              <w:bottom w:val="single" w:color="auto" w:sz="4" w:space="0"/>
              <w:right w:val="single" w:color="auto" w:sz="4" w:space="0"/>
            </w:tcBorders>
            <w:vAlign w:val="center"/>
          </w:tcPr>
          <w:p w14:paraId="4F0ECA65">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双曲面夹层玻璃/钢化玻璃，粘接式。</w:t>
            </w:r>
          </w:p>
        </w:tc>
        <w:tc>
          <w:tcPr>
            <w:tcW w:w="1110" w:type="dxa"/>
            <w:tcBorders>
              <w:top w:val="single" w:color="auto" w:sz="4" w:space="0"/>
              <w:left w:val="single" w:color="auto" w:sz="4" w:space="0"/>
              <w:bottom w:val="single" w:color="auto" w:sz="4" w:space="0"/>
              <w:right w:val="single" w:color="auto" w:sz="4" w:space="0"/>
            </w:tcBorders>
            <w:vAlign w:val="center"/>
          </w:tcPr>
          <w:p w14:paraId="1D4D4FD1">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项号24</w:t>
            </w:r>
          </w:p>
        </w:tc>
      </w:tr>
      <w:tr w14:paraId="712A5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4A89805D">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74345552">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司机窗</w:t>
            </w:r>
          </w:p>
        </w:tc>
        <w:tc>
          <w:tcPr>
            <w:tcW w:w="6015" w:type="dxa"/>
            <w:tcBorders>
              <w:top w:val="single" w:color="auto" w:sz="4" w:space="0"/>
              <w:left w:val="single" w:color="auto" w:sz="4" w:space="0"/>
              <w:bottom w:val="single" w:color="auto" w:sz="4" w:space="0"/>
              <w:right w:val="single" w:color="auto" w:sz="4" w:space="0"/>
            </w:tcBorders>
            <w:vAlign w:val="center"/>
          </w:tcPr>
          <w:p w14:paraId="1BB56986">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内嵌式推拉式司机窗，钢化玻璃。</w:t>
            </w:r>
          </w:p>
        </w:tc>
        <w:tc>
          <w:tcPr>
            <w:tcW w:w="1110" w:type="dxa"/>
            <w:tcBorders>
              <w:top w:val="single" w:color="auto" w:sz="4" w:space="0"/>
              <w:left w:val="single" w:color="auto" w:sz="4" w:space="0"/>
              <w:bottom w:val="single" w:color="auto" w:sz="4" w:space="0"/>
              <w:right w:val="single" w:color="auto" w:sz="4" w:space="0"/>
            </w:tcBorders>
            <w:vAlign w:val="center"/>
          </w:tcPr>
          <w:p w14:paraId="103A9C0D">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项号25</w:t>
            </w:r>
          </w:p>
        </w:tc>
      </w:tr>
      <w:tr w14:paraId="124C1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58FECBDA">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0D8CD893">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乘客座椅</w:t>
            </w:r>
          </w:p>
        </w:tc>
        <w:tc>
          <w:tcPr>
            <w:tcW w:w="6015" w:type="dxa"/>
            <w:tcBorders>
              <w:top w:val="single" w:color="auto" w:sz="4" w:space="0"/>
              <w:left w:val="single" w:color="auto" w:sz="4" w:space="0"/>
              <w:bottom w:val="single" w:color="auto" w:sz="4" w:space="0"/>
              <w:right w:val="single" w:color="auto" w:sz="4" w:space="0"/>
            </w:tcBorders>
            <w:vAlign w:val="center"/>
          </w:tcPr>
          <w:p w14:paraId="42507041">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座位数不小于47+1座</w:t>
            </w:r>
            <w:r>
              <w:rPr>
                <w:rFonts w:hint="eastAsia" w:ascii="宋体" w:hAnsi="宋体" w:eastAsia="宋体" w:cs="宋体"/>
                <w:b w:val="0"/>
                <w:bCs/>
                <w:color w:val="auto"/>
                <w:sz w:val="24"/>
                <w:szCs w:val="24"/>
                <w:lang w:eastAsia="zh-CN"/>
              </w:rPr>
              <w:t>；</w:t>
            </w:r>
            <w:r>
              <w:rPr>
                <w:rFonts w:hint="eastAsia" w:ascii="宋体" w:hAnsi="宋体" w:eastAsia="宋体" w:cs="宋体"/>
                <w:b w:val="0"/>
                <w:bCs/>
                <w:color w:val="auto"/>
                <w:sz w:val="24"/>
                <w:szCs w:val="24"/>
                <w:lang w:val="en-US" w:eastAsia="zh-CN"/>
              </w:rPr>
              <w:t>符合国家新法规高靠背航空座椅，全车三点式安全带。</w:t>
            </w:r>
          </w:p>
        </w:tc>
        <w:tc>
          <w:tcPr>
            <w:tcW w:w="1110" w:type="dxa"/>
            <w:tcBorders>
              <w:top w:val="single" w:color="auto" w:sz="4" w:space="0"/>
              <w:left w:val="single" w:color="auto" w:sz="4" w:space="0"/>
              <w:bottom w:val="single" w:color="auto" w:sz="4" w:space="0"/>
              <w:right w:val="single" w:color="auto" w:sz="4" w:space="0"/>
            </w:tcBorders>
            <w:vAlign w:val="center"/>
          </w:tcPr>
          <w:p w14:paraId="1750C23F">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项号26</w:t>
            </w:r>
          </w:p>
        </w:tc>
      </w:tr>
      <w:tr w14:paraId="3D322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2FEAF27F">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15ACDD18">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司机座椅</w:t>
            </w:r>
          </w:p>
        </w:tc>
        <w:tc>
          <w:tcPr>
            <w:tcW w:w="6015" w:type="dxa"/>
            <w:tcBorders>
              <w:top w:val="single" w:color="auto" w:sz="4" w:space="0"/>
              <w:left w:val="single" w:color="auto" w:sz="4" w:space="0"/>
              <w:bottom w:val="single" w:color="auto" w:sz="4" w:space="0"/>
              <w:right w:val="single" w:color="auto" w:sz="4" w:space="0"/>
            </w:tcBorders>
            <w:vAlign w:val="center"/>
          </w:tcPr>
          <w:p w14:paraId="5047DA9B">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高靠背气囊可调座椅（含三点式安全带），</w:t>
            </w:r>
            <w:r>
              <w:rPr>
                <w:rFonts w:hint="eastAsia" w:ascii="宋体" w:hAnsi="宋体" w:eastAsia="宋体" w:cs="宋体"/>
                <w:b w:val="0"/>
                <w:bCs/>
                <w:color w:val="auto"/>
                <w:sz w:val="24"/>
                <w:szCs w:val="24"/>
                <w:lang w:val="en-US" w:eastAsia="zh-CN"/>
              </w:rPr>
              <w:t>铝合金司机包围。</w:t>
            </w:r>
          </w:p>
        </w:tc>
        <w:tc>
          <w:tcPr>
            <w:tcW w:w="1110" w:type="dxa"/>
            <w:tcBorders>
              <w:top w:val="single" w:color="auto" w:sz="4" w:space="0"/>
              <w:left w:val="single" w:color="auto" w:sz="4" w:space="0"/>
              <w:bottom w:val="single" w:color="auto" w:sz="4" w:space="0"/>
              <w:right w:val="single" w:color="auto" w:sz="4" w:space="0"/>
            </w:tcBorders>
            <w:vAlign w:val="center"/>
          </w:tcPr>
          <w:p w14:paraId="50A1211C">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项号27</w:t>
            </w:r>
          </w:p>
        </w:tc>
      </w:tr>
      <w:tr w14:paraId="2B2D7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406AFF7D">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66742E6D">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下车照明装置</w:t>
            </w:r>
          </w:p>
        </w:tc>
        <w:tc>
          <w:tcPr>
            <w:tcW w:w="6015" w:type="dxa"/>
            <w:tcBorders>
              <w:top w:val="single" w:color="auto" w:sz="4" w:space="0"/>
              <w:left w:val="single" w:color="auto" w:sz="4" w:space="0"/>
              <w:bottom w:val="single" w:color="auto" w:sz="4" w:space="0"/>
              <w:right w:val="single" w:color="auto" w:sz="4" w:space="0"/>
            </w:tcBorders>
            <w:vAlign w:val="center"/>
          </w:tcPr>
          <w:p w14:paraId="24E374A2">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按标准配置</w:t>
            </w:r>
          </w:p>
        </w:tc>
        <w:tc>
          <w:tcPr>
            <w:tcW w:w="1110" w:type="dxa"/>
            <w:tcBorders>
              <w:top w:val="single" w:color="auto" w:sz="4" w:space="0"/>
              <w:left w:val="single" w:color="auto" w:sz="4" w:space="0"/>
              <w:right w:val="single" w:color="auto" w:sz="4" w:space="0"/>
            </w:tcBorders>
            <w:vAlign w:val="center"/>
          </w:tcPr>
          <w:p w14:paraId="7FC8C200">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项号28</w:t>
            </w:r>
          </w:p>
        </w:tc>
      </w:tr>
      <w:tr w14:paraId="2AFCE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4443FF22">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0F883284">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后视镜</w:t>
            </w:r>
          </w:p>
        </w:tc>
        <w:tc>
          <w:tcPr>
            <w:tcW w:w="6015" w:type="dxa"/>
            <w:tcBorders>
              <w:top w:val="single" w:color="auto" w:sz="4" w:space="0"/>
              <w:left w:val="single" w:color="auto" w:sz="4" w:space="0"/>
              <w:bottom w:val="single" w:color="auto" w:sz="4" w:space="0"/>
              <w:right w:val="single" w:color="auto" w:sz="4" w:space="0"/>
            </w:tcBorders>
            <w:vAlign w:val="center"/>
          </w:tcPr>
          <w:p w14:paraId="7342AA80">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val="en-US" w:eastAsia="zh-CN"/>
              </w:rPr>
              <w:t>电动兔耳式</w:t>
            </w:r>
            <w:r>
              <w:rPr>
                <w:rFonts w:hint="eastAsia" w:ascii="宋体" w:hAnsi="宋体" w:eastAsia="宋体" w:cs="宋体"/>
                <w:b w:val="0"/>
                <w:bCs/>
                <w:color w:val="auto"/>
                <w:sz w:val="24"/>
                <w:szCs w:val="24"/>
                <w:lang w:eastAsia="zh-CN"/>
              </w:rPr>
              <w:t>后视镜，内视镜。</w:t>
            </w:r>
          </w:p>
        </w:tc>
        <w:tc>
          <w:tcPr>
            <w:tcW w:w="1110" w:type="dxa"/>
            <w:tcBorders>
              <w:left w:val="single" w:color="auto" w:sz="4" w:space="0"/>
              <w:bottom w:val="single" w:color="auto" w:sz="4" w:space="0"/>
              <w:right w:val="single" w:color="auto" w:sz="4" w:space="0"/>
            </w:tcBorders>
            <w:vAlign w:val="center"/>
          </w:tcPr>
          <w:p w14:paraId="0D0CAB4F">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项号29</w:t>
            </w:r>
          </w:p>
        </w:tc>
      </w:tr>
      <w:tr w14:paraId="796D3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0D77E222">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407A3F09">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地板、地板革</w:t>
            </w:r>
          </w:p>
        </w:tc>
        <w:tc>
          <w:tcPr>
            <w:tcW w:w="6015" w:type="dxa"/>
            <w:tcBorders>
              <w:top w:val="single" w:color="auto" w:sz="4" w:space="0"/>
              <w:left w:val="single" w:color="auto" w:sz="4" w:space="0"/>
              <w:bottom w:val="single" w:color="auto" w:sz="4" w:space="0"/>
              <w:right w:val="single" w:color="auto" w:sz="4" w:space="0"/>
            </w:tcBorders>
            <w:vAlign w:val="center"/>
          </w:tcPr>
          <w:p w14:paraId="6F344F84">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val="en-US" w:eastAsia="zh-CN"/>
              </w:rPr>
              <w:t>车内凹槽地板结构，表面铺防滑耐磨</w:t>
            </w:r>
            <w:r>
              <w:rPr>
                <w:rFonts w:hint="eastAsia" w:ascii="宋体" w:hAnsi="宋体" w:eastAsia="宋体" w:cs="宋体"/>
                <w:sz w:val="24"/>
                <w:szCs w:val="24"/>
                <w:lang w:val="en-US" w:eastAsia="zh-CN"/>
              </w:rPr>
              <w:t>石英砂</w:t>
            </w:r>
            <w:r>
              <w:rPr>
                <w:rFonts w:hint="eastAsia" w:ascii="宋体" w:hAnsi="宋体" w:eastAsia="宋体" w:cs="宋体"/>
                <w:sz w:val="24"/>
                <w:szCs w:val="24"/>
              </w:rPr>
              <w:t>地板革</w:t>
            </w:r>
            <w:r>
              <w:rPr>
                <w:rFonts w:hint="eastAsia" w:ascii="宋体" w:hAnsi="宋体" w:eastAsia="宋体" w:cs="宋体"/>
                <w:b w:val="0"/>
                <w:bCs/>
                <w:color w:val="auto"/>
                <w:sz w:val="24"/>
                <w:szCs w:val="24"/>
                <w:lang w:eastAsia="zh-CN"/>
              </w:rPr>
              <w:t>。</w:t>
            </w:r>
            <w:r>
              <w:rPr>
                <w:rFonts w:hint="eastAsia" w:ascii="宋体" w:hAnsi="宋体" w:eastAsia="宋体" w:cs="宋体"/>
                <w:b w:val="0"/>
                <w:bCs/>
                <w:color w:val="auto"/>
                <w:sz w:val="24"/>
                <w:szCs w:val="24"/>
                <w:lang w:val="en-US" w:eastAsia="zh-CN"/>
              </w:rPr>
              <w:t xml:space="preserve"> </w:t>
            </w:r>
          </w:p>
        </w:tc>
        <w:tc>
          <w:tcPr>
            <w:tcW w:w="1110" w:type="dxa"/>
            <w:tcBorders>
              <w:top w:val="single" w:color="auto" w:sz="4" w:space="0"/>
              <w:left w:val="single" w:color="auto" w:sz="4" w:space="0"/>
              <w:bottom w:val="single" w:color="auto" w:sz="4" w:space="0"/>
              <w:right w:val="single" w:color="auto" w:sz="4" w:space="0"/>
            </w:tcBorders>
            <w:vAlign w:val="center"/>
          </w:tcPr>
          <w:p w14:paraId="1E2665AD">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项号30</w:t>
            </w:r>
          </w:p>
        </w:tc>
      </w:tr>
      <w:tr w14:paraId="0BF0F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389FCC45">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37F5D465">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窗帘</w:t>
            </w:r>
          </w:p>
        </w:tc>
        <w:tc>
          <w:tcPr>
            <w:tcW w:w="6015" w:type="dxa"/>
            <w:tcBorders>
              <w:top w:val="single" w:color="auto" w:sz="4" w:space="0"/>
              <w:left w:val="single" w:color="auto" w:sz="4" w:space="0"/>
              <w:bottom w:val="single" w:color="auto" w:sz="4" w:space="0"/>
              <w:right w:val="single" w:color="auto" w:sz="4" w:space="0"/>
            </w:tcBorders>
            <w:vAlign w:val="center"/>
          </w:tcPr>
          <w:p w14:paraId="0053CB32">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整车侧</w:t>
            </w:r>
            <w:r>
              <w:rPr>
                <w:rFonts w:hint="eastAsia" w:ascii="宋体" w:hAnsi="宋体" w:eastAsia="宋体" w:cs="宋体"/>
                <w:b w:val="0"/>
                <w:bCs/>
                <w:color w:val="auto"/>
                <w:sz w:val="24"/>
                <w:szCs w:val="24"/>
                <w:lang w:val="en-US" w:eastAsia="zh-CN"/>
              </w:rPr>
              <w:t>布质</w:t>
            </w:r>
            <w:r>
              <w:rPr>
                <w:rFonts w:hint="eastAsia" w:ascii="宋体" w:hAnsi="宋体" w:eastAsia="宋体" w:cs="宋体"/>
                <w:b w:val="0"/>
                <w:bCs/>
                <w:color w:val="auto"/>
                <w:sz w:val="24"/>
                <w:szCs w:val="24"/>
                <w:lang w:eastAsia="zh-CN"/>
              </w:rPr>
              <w:t>窗帘，</w:t>
            </w:r>
            <w:r>
              <w:rPr>
                <w:rFonts w:hint="eastAsia" w:ascii="宋体" w:hAnsi="宋体" w:eastAsia="宋体" w:cs="宋体"/>
                <w:b w:val="0"/>
                <w:bCs/>
                <w:color w:val="auto"/>
                <w:sz w:val="24"/>
                <w:szCs w:val="24"/>
                <w:lang w:val="en-US" w:eastAsia="zh-CN"/>
              </w:rPr>
              <w:t>挂钩式固定</w:t>
            </w:r>
          </w:p>
        </w:tc>
        <w:tc>
          <w:tcPr>
            <w:tcW w:w="1110" w:type="dxa"/>
            <w:tcBorders>
              <w:top w:val="single" w:color="auto" w:sz="4" w:space="0"/>
              <w:left w:val="single" w:color="auto" w:sz="4" w:space="0"/>
              <w:right w:val="single" w:color="auto" w:sz="4" w:space="0"/>
            </w:tcBorders>
            <w:vAlign w:val="center"/>
          </w:tcPr>
          <w:p w14:paraId="281A0B59">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项号31</w:t>
            </w:r>
          </w:p>
        </w:tc>
      </w:tr>
      <w:tr w14:paraId="5C4C5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3A6269B1">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08055190">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val="en-US" w:eastAsia="zh-CN"/>
              </w:rPr>
              <w:t>司机</w:t>
            </w:r>
            <w:r>
              <w:rPr>
                <w:rFonts w:hint="eastAsia" w:ascii="宋体" w:hAnsi="宋体" w:eastAsia="宋体" w:cs="宋体"/>
                <w:b w:val="0"/>
                <w:bCs/>
                <w:color w:val="auto"/>
                <w:sz w:val="24"/>
                <w:szCs w:val="24"/>
                <w:lang w:eastAsia="zh-CN"/>
              </w:rPr>
              <w:t>风扇</w:t>
            </w:r>
          </w:p>
        </w:tc>
        <w:tc>
          <w:tcPr>
            <w:tcW w:w="6015" w:type="dxa"/>
            <w:tcBorders>
              <w:top w:val="single" w:color="auto" w:sz="4" w:space="0"/>
              <w:left w:val="single" w:color="auto" w:sz="4" w:space="0"/>
              <w:bottom w:val="single" w:color="auto" w:sz="4" w:space="0"/>
              <w:right w:val="single" w:color="auto" w:sz="4" w:space="0"/>
            </w:tcBorders>
            <w:vAlign w:val="center"/>
          </w:tcPr>
          <w:p w14:paraId="321197FF">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val="en-US" w:eastAsia="zh-CN"/>
              </w:rPr>
              <w:t>有，</w:t>
            </w:r>
            <w:r>
              <w:rPr>
                <w:rFonts w:hint="eastAsia" w:ascii="宋体" w:hAnsi="宋体" w:eastAsia="宋体" w:cs="宋体"/>
                <w:b w:val="0"/>
                <w:bCs/>
                <w:color w:val="auto"/>
                <w:sz w:val="24"/>
                <w:szCs w:val="24"/>
                <w:lang w:eastAsia="zh-CN"/>
              </w:rPr>
              <w:t>配置安全软叶片侧风扇。</w:t>
            </w:r>
          </w:p>
        </w:tc>
        <w:tc>
          <w:tcPr>
            <w:tcW w:w="1110" w:type="dxa"/>
            <w:tcBorders>
              <w:left w:val="single" w:color="auto" w:sz="4" w:space="0"/>
              <w:bottom w:val="single" w:color="auto" w:sz="4" w:space="0"/>
              <w:right w:val="single" w:color="auto" w:sz="4" w:space="0"/>
            </w:tcBorders>
            <w:vAlign w:val="center"/>
          </w:tcPr>
          <w:p w14:paraId="6C254451">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项号32</w:t>
            </w:r>
          </w:p>
        </w:tc>
      </w:tr>
      <w:tr w14:paraId="03094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3AEEB4E8">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2FCD31B4">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遮阳帘</w:t>
            </w:r>
          </w:p>
        </w:tc>
        <w:tc>
          <w:tcPr>
            <w:tcW w:w="6015" w:type="dxa"/>
            <w:tcBorders>
              <w:top w:val="single" w:color="auto" w:sz="4" w:space="0"/>
              <w:left w:val="single" w:color="auto" w:sz="4" w:space="0"/>
              <w:bottom w:val="single" w:color="auto" w:sz="4" w:space="0"/>
              <w:right w:val="single" w:color="auto" w:sz="4" w:space="0"/>
            </w:tcBorders>
            <w:vAlign w:val="center"/>
          </w:tcPr>
          <w:p w14:paraId="56FB4764">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司机侧窗下拉自锁式遮阳帘，前挡下拉自锁式遮阳帘。</w:t>
            </w:r>
          </w:p>
        </w:tc>
        <w:tc>
          <w:tcPr>
            <w:tcW w:w="1110" w:type="dxa"/>
            <w:tcBorders>
              <w:top w:val="single" w:color="auto" w:sz="4" w:space="0"/>
              <w:left w:val="single" w:color="auto" w:sz="4" w:space="0"/>
              <w:bottom w:val="single" w:color="auto" w:sz="4" w:space="0"/>
              <w:right w:val="single" w:color="auto" w:sz="4" w:space="0"/>
            </w:tcBorders>
            <w:vAlign w:val="center"/>
          </w:tcPr>
          <w:p w14:paraId="1D1A1D22">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项号33</w:t>
            </w:r>
          </w:p>
        </w:tc>
      </w:tr>
      <w:tr w14:paraId="210D3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0B80D58A">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04D53609">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骨架</w:t>
            </w:r>
          </w:p>
        </w:tc>
        <w:tc>
          <w:tcPr>
            <w:tcW w:w="6015" w:type="dxa"/>
            <w:tcBorders>
              <w:top w:val="single" w:color="auto" w:sz="4" w:space="0"/>
              <w:left w:val="single" w:color="auto" w:sz="4" w:space="0"/>
              <w:bottom w:val="single" w:color="auto" w:sz="4" w:space="0"/>
              <w:right w:val="single" w:color="auto" w:sz="4" w:space="0"/>
            </w:tcBorders>
            <w:vAlign w:val="center"/>
          </w:tcPr>
          <w:p w14:paraId="64051AC9">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车身采用承载式结构，20#矩形钢管，二氧化碳保护焊，采取防腐、防锈等工艺处理；车厢地板骨架应加密，保证强度。</w:t>
            </w:r>
          </w:p>
        </w:tc>
        <w:tc>
          <w:tcPr>
            <w:tcW w:w="1110" w:type="dxa"/>
            <w:tcBorders>
              <w:top w:val="single" w:color="auto" w:sz="4" w:space="0"/>
              <w:left w:val="single" w:color="auto" w:sz="4" w:space="0"/>
              <w:bottom w:val="single" w:color="auto" w:sz="4" w:space="0"/>
              <w:right w:val="single" w:color="auto" w:sz="4" w:space="0"/>
            </w:tcBorders>
            <w:vAlign w:val="center"/>
          </w:tcPr>
          <w:p w14:paraId="637FE33E">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项号34</w:t>
            </w:r>
          </w:p>
        </w:tc>
      </w:tr>
      <w:tr w14:paraId="20B49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6AF64F5C">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shd w:val="clear" w:color="auto" w:fill="auto"/>
            <w:vAlign w:val="center"/>
          </w:tcPr>
          <w:p w14:paraId="06476D88">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蓄电池</w:t>
            </w:r>
          </w:p>
        </w:tc>
        <w:tc>
          <w:tcPr>
            <w:tcW w:w="6015" w:type="dxa"/>
            <w:tcBorders>
              <w:top w:val="single" w:color="auto" w:sz="4" w:space="0"/>
              <w:left w:val="single" w:color="auto" w:sz="4" w:space="0"/>
              <w:bottom w:val="single" w:color="auto" w:sz="4" w:space="0"/>
              <w:right w:val="single" w:color="auto" w:sz="4" w:space="0"/>
            </w:tcBorders>
            <w:shd w:val="clear" w:color="auto" w:fill="auto"/>
            <w:vAlign w:val="center"/>
          </w:tcPr>
          <w:p w14:paraId="2CF5D2A4">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免维护2*80Ah蓄电池， 在电池附近加装手动机械式电源总开关。</w:t>
            </w:r>
          </w:p>
        </w:tc>
        <w:tc>
          <w:tcPr>
            <w:tcW w:w="1110" w:type="dxa"/>
            <w:tcBorders>
              <w:top w:val="single" w:color="auto" w:sz="4" w:space="0"/>
              <w:left w:val="single" w:color="auto" w:sz="4" w:space="0"/>
              <w:bottom w:val="single" w:color="auto" w:sz="4" w:space="0"/>
              <w:right w:val="single" w:color="auto" w:sz="4" w:space="0"/>
            </w:tcBorders>
            <w:shd w:val="clear" w:color="auto" w:fill="auto"/>
            <w:vAlign w:val="center"/>
          </w:tcPr>
          <w:p w14:paraId="2AA72B06">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项号35</w:t>
            </w:r>
          </w:p>
        </w:tc>
      </w:tr>
      <w:tr w14:paraId="6A2F2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065A0228">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2F4B79FF">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蒙皮</w:t>
            </w:r>
          </w:p>
        </w:tc>
        <w:tc>
          <w:tcPr>
            <w:tcW w:w="6015" w:type="dxa"/>
            <w:tcBorders>
              <w:top w:val="single" w:color="auto" w:sz="4" w:space="0"/>
              <w:left w:val="single" w:color="auto" w:sz="4" w:space="0"/>
              <w:bottom w:val="single" w:color="auto" w:sz="4" w:space="0"/>
              <w:right w:val="single" w:color="auto" w:sz="4" w:space="0"/>
            </w:tcBorders>
            <w:vAlign w:val="center"/>
          </w:tcPr>
          <w:p w14:paraId="27F5EE76">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辊压镀锌，厚度δ≥1 mm应力涨拉结构，采用整车阴极电泳工艺，；车厢内部应发泡隔热措施；侧板采用无机复合不燃烧板，车身外侧应设置雨槽。</w:t>
            </w:r>
          </w:p>
        </w:tc>
        <w:tc>
          <w:tcPr>
            <w:tcW w:w="1110" w:type="dxa"/>
            <w:tcBorders>
              <w:top w:val="single" w:color="auto" w:sz="4" w:space="0"/>
              <w:left w:val="single" w:color="auto" w:sz="4" w:space="0"/>
              <w:bottom w:val="single" w:color="auto" w:sz="4" w:space="0"/>
              <w:right w:val="single" w:color="auto" w:sz="4" w:space="0"/>
            </w:tcBorders>
            <w:vAlign w:val="center"/>
          </w:tcPr>
          <w:p w14:paraId="0FCE2E36">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项号36</w:t>
            </w:r>
          </w:p>
        </w:tc>
      </w:tr>
      <w:tr w14:paraId="2B72C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restart"/>
            <w:tcBorders>
              <w:top w:val="single" w:color="auto" w:sz="4" w:space="0"/>
              <w:left w:val="single" w:color="auto" w:sz="4" w:space="0"/>
              <w:bottom w:val="single" w:color="auto" w:sz="4" w:space="0"/>
              <w:right w:val="single" w:color="auto" w:sz="4" w:space="0"/>
            </w:tcBorders>
            <w:vAlign w:val="center"/>
          </w:tcPr>
          <w:p w14:paraId="70C52BDA">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其他配置及要求</w:t>
            </w:r>
          </w:p>
        </w:tc>
        <w:tc>
          <w:tcPr>
            <w:tcW w:w="1601" w:type="dxa"/>
            <w:tcBorders>
              <w:top w:val="single" w:color="auto" w:sz="4" w:space="0"/>
              <w:left w:val="single" w:color="auto" w:sz="4" w:space="0"/>
              <w:bottom w:val="single" w:color="auto" w:sz="4" w:space="0"/>
              <w:right w:val="single" w:color="auto" w:sz="4" w:space="0"/>
            </w:tcBorders>
            <w:vAlign w:val="center"/>
          </w:tcPr>
          <w:p w14:paraId="46894898">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视听系统</w:t>
            </w:r>
          </w:p>
        </w:tc>
        <w:tc>
          <w:tcPr>
            <w:tcW w:w="6015" w:type="dxa"/>
            <w:tcBorders>
              <w:top w:val="single" w:color="auto" w:sz="4" w:space="0"/>
              <w:left w:val="single" w:color="auto" w:sz="4" w:space="0"/>
              <w:bottom w:val="single" w:color="auto" w:sz="4" w:space="0"/>
              <w:right w:val="single" w:color="auto" w:sz="4" w:space="0"/>
            </w:tcBorders>
            <w:vAlign w:val="center"/>
          </w:tcPr>
          <w:p w14:paraId="50A3F66D">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空调风道上设置喇叭，布局要合理（不朝向驾驶员）。</w:t>
            </w:r>
          </w:p>
        </w:tc>
        <w:tc>
          <w:tcPr>
            <w:tcW w:w="1110" w:type="dxa"/>
            <w:tcBorders>
              <w:top w:val="single" w:color="auto" w:sz="4" w:space="0"/>
              <w:left w:val="single" w:color="auto" w:sz="4" w:space="0"/>
              <w:bottom w:val="single" w:color="auto" w:sz="4" w:space="0"/>
              <w:right w:val="single" w:color="auto" w:sz="4" w:space="0"/>
            </w:tcBorders>
            <w:vAlign w:val="center"/>
          </w:tcPr>
          <w:p w14:paraId="58353746">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项号37</w:t>
            </w:r>
          </w:p>
        </w:tc>
      </w:tr>
      <w:tr w14:paraId="5FAC7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1FA93540">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701D9B64">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车厢灭火器</w:t>
            </w:r>
          </w:p>
        </w:tc>
        <w:tc>
          <w:tcPr>
            <w:tcW w:w="6015" w:type="dxa"/>
            <w:tcBorders>
              <w:top w:val="single" w:color="auto" w:sz="4" w:space="0"/>
              <w:left w:val="single" w:color="auto" w:sz="4" w:space="0"/>
              <w:bottom w:val="single" w:color="auto" w:sz="4" w:space="0"/>
              <w:right w:val="single" w:color="auto" w:sz="4" w:space="0"/>
            </w:tcBorders>
            <w:vAlign w:val="center"/>
          </w:tcPr>
          <w:p w14:paraId="356F0F02">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配立式4Kg干粉灭火器2只</w:t>
            </w:r>
            <w:r>
              <w:rPr>
                <w:rFonts w:hint="eastAsia" w:ascii="宋体" w:hAnsi="宋体" w:eastAsia="宋体" w:cs="宋体"/>
                <w:b w:val="0"/>
                <w:bCs/>
                <w:color w:val="auto"/>
                <w:sz w:val="24"/>
                <w:szCs w:val="24"/>
                <w:lang w:val="en-US" w:eastAsia="zh-CN"/>
              </w:rPr>
              <w:t>。</w:t>
            </w:r>
          </w:p>
        </w:tc>
        <w:tc>
          <w:tcPr>
            <w:tcW w:w="1110" w:type="dxa"/>
            <w:tcBorders>
              <w:top w:val="single" w:color="auto" w:sz="4" w:space="0"/>
              <w:left w:val="single" w:color="auto" w:sz="4" w:space="0"/>
              <w:bottom w:val="single" w:color="auto" w:sz="4" w:space="0"/>
              <w:right w:val="single" w:color="auto" w:sz="4" w:space="0"/>
            </w:tcBorders>
            <w:vAlign w:val="center"/>
          </w:tcPr>
          <w:p w14:paraId="2F988400">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项号38</w:t>
            </w:r>
          </w:p>
        </w:tc>
      </w:tr>
      <w:tr w14:paraId="023B9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5EB95071">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62E53D14">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val="en-US" w:eastAsia="zh-CN"/>
              </w:rPr>
              <w:t>行李仓</w:t>
            </w:r>
          </w:p>
        </w:tc>
        <w:tc>
          <w:tcPr>
            <w:tcW w:w="6015" w:type="dxa"/>
            <w:tcBorders>
              <w:top w:val="single" w:color="auto" w:sz="4" w:space="0"/>
              <w:left w:val="single" w:color="auto" w:sz="4" w:space="0"/>
              <w:bottom w:val="single" w:color="auto" w:sz="4" w:space="0"/>
              <w:right w:val="single" w:color="auto" w:sz="4" w:space="0"/>
            </w:tcBorders>
            <w:vAlign w:val="center"/>
          </w:tcPr>
          <w:p w14:paraId="00AC7CF4">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车辆下方贯通式行李仓，配装气动遥控平移舱门，方便取放行李。</w:t>
            </w:r>
          </w:p>
        </w:tc>
        <w:tc>
          <w:tcPr>
            <w:tcW w:w="1110" w:type="dxa"/>
            <w:tcBorders>
              <w:top w:val="single" w:color="auto" w:sz="4" w:space="0"/>
              <w:left w:val="single" w:color="auto" w:sz="4" w:space="0"/>
              <w:bottom w:val="single" w:color="auto" w:sz="4" w:space="0"/>
              <w:right w:val="single" w:color="auto" w:sz="4" w:space="0"/>
            </w:tcBorders>
            <w:vAlign w:val="center"/>
          </w:tcPr>
          <w:p w14:paraId="3CBBB07D">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项号39</w:t>
            </w:r>
          </w:p>
        </w:tc>
      </w:tr>
      <w:tr w14:paraId="74163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37698209">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7AF6C136">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电子钟</w:t>
            </w:r>
          </w:p>
        </w:tc>
        <w:tc>
          <w:tcPr>
            <w:tcW w:w="6015" w:type="dxa"/>
            <w:tcBorders>
              <w:top w:val="single" w:color="auto" w:sz="4" w:space="0"/>
              <w:left w:val="single" w:color="auto" w:sz="4" w:space="0"/>
              <w:bottom w:val="single" w:color="auto" w:sz="4" w:space="0"/>
              <w:right w:val="single" w:color="auto" w:sz="4" w:space="0"/>
            </w:tcBorders>
            <w:vAlign w:val="center"/>
          </w:tcPr>
          <w:p w14:paraId="4DD941A4">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有，布局合理</w:t>
            </w:r>
          </w:p>
        </w:tc>
        <w:tc>
          <w:tcPr>
            <w:tcW w:w="1110" w:type="dxa"/>
            <w:tcBorders>
              <w:top w:val="single" w:color="auto" w:sz="4" w:space="0"/>
              <w:left w:val="single" w:color="auto" w:sz="4" w:space="0"/>
              <w:right w:val="single" w:color="auto" w:sz="4" w:space="0"/>
            </w:tcBorders>
            <w:vAlign w:val="center"/>
          </w:tcPr>
          <w:p w14:paraId="6406AC5E">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项号40</w:t>
            </w:r>
          </w:p>
        </w:tc>
      </w:tr>
      <w:tr w14:paraId="7D6F8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5DF200B4">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70AD3B89">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雨刮</w:t>
            </w:r>
          </w:p>
        </w:tc>
        <w:tc>
          <w:tcPr>
            <w:tcW w:w="6015" w:type="dxa"/>
            <w:tcBorders>
              <w:top w:val="single" w:color="auto" w:sz="4" w:space="0"/>
              <w:left w:val="single" w:color="auto" w:sz="4" w:space="0"/>
              <w:bottom w:val="single" w:color="auto" w:sz="4" w:space="0"/>
              <w:right w:val="single" w:color="auto" w:sz="4" w:space="0"/>
            </w:tcBorders>
            <w:vAlign w:val="center"/>
          </w:tcPr>
          <w:p w14:paraId="0270DF1B">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电机功率和雨刮杆强度要适合，采用对刮式。</w:t>
            </w:r>
          </w:p>
        </w:tc>
        <w:tc>
          <w:tcPr>
            <w:tcW w:w="1110" w:type="dxa"/>
            <w:tcBorders>
              <w:left w:val="single" w:color="auto" w:sz="4" w:space="0"/>
              <w:bottom w:val="single" w:color="auto" w:sz="4" w:space="0"/>
              <w:right w:val="single" w:color="auto" w:sz="4" w:space="0"/>
            </w:tcBorders>
            <w:vAlign w:val="center"/>
          </w:tcPr>
          <w:p w14:paraId="2BA9C924">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项号41</w:t>
            </w:r>
          </w:p>
        </w:tc>
      </w:tr>
      <w:tr w14:paraId="01E7A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7837EF87">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shd w:val="clear" w:color="auto" w:fill="auto"/>
            <w:vAlign w:val="center"/>
          </w:tcPr>
          <w:p w14:paraId="3EB0ED88">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喇叭</w:t>
            </w:r>
          </w:p>
        </w:tc>
        <w:tc>
          <w:tcPr>
            <w:tcW w:w="6015" w:type="dxa"/>
            <w:tcBorders>
              <w:top w:val="single" w:color="auto" w:sz="4" w:space="0"/>
              <w:left w:val="single" w:color="auto" w:sz="4" w:space="0"/>
              <w:bottom w:val="single" w:color="auto" w:sz="4" w:space="0"/>
              <w:right w:val="single" w:color="auto" w:sz="4" w:space="0"/>
            </w:tcBorders>
            <w:shd w:val="clear" w:color="auto" w:fill="auto"/>
            <w:vAlign w:val="center"/>
          </w:tcPr>
          <w:p w14:paraId="61E052DD">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电和气喇叭</w:t>
            </w:r>
          </w:p>
        </w:tc>
        <w:tc>
          <w:tcPr>
            <w:tcW w:w="1110" w:type="dxa"/>
            <w:tcBorders>
              <w:top w:val="single" w:color="auto" w:sz="4" w:space="0"/>
              <w:left w:val="single" w:color="auto" w:sz="4" w:space="0"/>
              <w:bottom w:val="single" w:color="auto" w:sz="4" w:space="0"/>
              <w:right w:val="single" w:color="auto" w:sz="4" w:space="0"/>
            </w:tcBorders>
            <w:shd w:val="clear" w:color="auto" w:fill="auto"/>
            <w:vAlign w:val="center"/>
          </w:tcPr>
          <w:p w14:paraId="60A2D369">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项号42</w:t>
            </w:r>
          </w:p>
        </w:tc>
      </w:tr>
      <w:tr w14:paraId="04743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top w:val="single" w:color="auto" w:sz="4" w:space="0"/>
              <w:left w:val="single" w:color="auto" w:sz="4" w:space="0"/>
              <w:bottom w:val="single" w:color="auto" w:sz="4" w:space="0"/>
              <w:right w:val="single" w:color="auto" w:sz="4" w:space="0"/>
            </w:tcBorders>
            <w:vAlign w:val="center"/>
          </w:tcPr>
          <w:p w14:paraId="7E4EDE77">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7FF4AAA1">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油漆</w:t>
            </w:r>
          </w:p>
        </w:tc>
        <w:tc>
          <w:tcPr>
            <w:tcW w:w="6015" w:type="dxa"/>
            <w:tcBorders>
              <w:top w:val="single" w:color="auto" w:sz="4" w:space="0"/>
              <w:left w:val="single" w:color="auto" w:sz="4" w:space="0"/>
              <w:bottom w:val="single" w:color="auto" w:sz="4" w:space="0"/>
              <w:right w:val="single" w:color="auto" w:sz="4" w:space="0"/>
            </w:tcBorders>
            <w:vAlign w:val="center"/>
          </w:tcPr>
          <w:p w14:paraId="609F97EB">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val="en-US" w:eastAsia="zh-CN"/>
              </w:rPr>
              <w:t>金属</w:t>
            </w:r>
            <w:r>
              <w:rPr>
                <w:rFonts w:hint="eastAsia" w:ascii="宋体" w:hAnsi="宋体" w:eastAsia="宋体" w:cs="宋体"/>
                <w:b w:val="0"/>
                <w:bCs/>
                <w:color w:val="auto"/>
                <w:sz w:val="24"/>
                <w:szCs w:val="24"/>
                <w:lang w:eastAsia="zh-CN"/>
              </w:rPr>
              <w:t>漆，</w:t>
            </w:r>
            <w:r>
              <w:rPr>
                <w:rFonts w:hint="eastAsia" w:ascii="宋体" w:hAnsi="宋体" w:eastAsia="宋体" w:cs="宋体"/>
                <w:b w:val="0"/>
                <w:bCs/>
                <w:color w:val="auto"/>
                <w:sz w:val="24"/>
                <w:szCs w:val="24"/>
                <w:lang w:val="en-US" w:eastAsia="zh-CN"/>
              </w:rPr>
              <w:t>车身色彩图案由招标人确定</w:t>
            </w:r>
            <w:r>
              <w:rPr>
                <w:rFonts w:hint="eastAsia" w:ascii="宋体" w:hAnsi="宋体" w:eastAsia="宋体" w:cs="宋体"/>
                <w:b w:val="0"/>
                <w:bCs/>
                <w:color w:val="auto"/>
                <w:sz w:val="24"/>
                <w:szCs w:val="24"/>
                <w:lang w:eastAsia="zh-CN"/>
              </w:rPr>
              <w:t>。</w:t>
            </w:r>
          </w:p>
        </w:tc>
        <w:tc>
          <w:tcPr>
            <w:tcW w:w="1110" w:type="dxa"/>
            <w:tcBorders>
              <w:top w:val="single" w:color="auto" w:sz="4" w:space="0"/>
              <w:left w:val="single" w:color="auto" w:sz="4" w:space="0"/>
              <w:bottom w:val="single" w:color="auto" w:sz="4" w:space="0"/>
              <w:right w:val="single" w:color="auto" w:sz="4" w:space="0"/>
            </w:tcBorders>
            <w:vAlign w:val="center"/>
          </w:tcPr>
          <w:p w14:paraId="3A2D316F">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项号43</w:t>
            </w:r>
          </w:p>
        </w:tc>
      </w:tr>
      <w:tr w14:paraId="604F7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074" w:type="dxa"/>
            <w:vMerge w:val="restart"/>
            <w:tcBorders>
              <w:top w:val="single" w:color="auto" w:sz="4" w:space="0"/>
              <w:left w:val="single" w:color="auto" w:sz="4" w:space="0"/>
              <w:right w:val="single" w:color="auto" w:sz="4" w:space="0"/>
            </w:tcBorders>
            <w:vAlign w:val="center"/>
          </w:tcPr>
          <w:p w14:paraId="7CC9C257">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其他配置及要求</w:t>
            </w:r>
          </w:p>
        </w:tc>
        <w:tc>
          <w:tcPr>
            <w:tcW w:w="1601" w:type="dxa"/>
            <w:tcBorders>
              <w:top w:val="single" w:color="auto" w:sz="4" w:space="0"/>
              <w:left w:val="single" w:color="auto" w:sz="4" w:space="0"/>
              <w:bottom w:val="single" w:color="auto" w:sz="4" w:space="0"/>
              <w:right w:val="single" w:color="auto" w:sz="4" w:space="0"/>
            </w:tcBorders>
            <w:vAlign w:val="center"/>
          </w:tcPr>
          <w:p w14:paraId="4DDE53D7">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刷卡机、</w:t>
            </w:r>
            <w:r>
              <w:rPr>
                <w:rFonts w:hint="eastAsia" w:ascii="宋体" w:hAnsi="宋体" w:eastAsia="宋体" w:cs="宋体"/>
                <w:b w:val="0"/>
                <w:bCs/>
                <w:color w:val="auto"/>
                <w:sz w:val="24"/>
                <w:szCs w:val="24"/>
                <w:lang w:val="en-US" w:eastAsia="zh-CN"/>
              </w:rPr>
              <w:t>投币箱</w:t>
            </w:r>
          </w:p>
        </w:tc>
        <w:tc>
          <w:tcPr>
            <w:tcW w:w="6015" w:type="dxa"/>
            <w:tcBorders>
              <w:top w:val="single" w:color="auto" w:sz="4" w:space="0"/>
              <w:left w:val="single" w:color="auto" w:sz="4" w:space="0"/>
              <w:bottom w:val="single" w:color="auto" w:sz="4" w:space="0"/>
              <w:right w:val="single" w:color="auto" w:sz="4" w:space="0"/>
            </w:tcBorders>
            <w:vAlign w:val="center"/>
          </w:tcPr>
          <w:p w14:paraId="5C7EC0C8">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刷卡机、</w:t>
            </w:r>
            <w:r>
              <w:rPr>
                <w:rFonts w:hint="eastAsia" w:ascii="宋体" w:hAnsi="宋体" w:eastAsia="宋体" w:cs="宋体"/>
                <w:b w:val="0"/>
                <w:bCs/>
                <w:color w:val="auto"/>
                <w:sz w:val="24"/>
                <w:szCs w:val="24"/>
                <w:lang w:val="en-US" w:eastAsia="zh-CN"/>
              </w:rPr>
              <w:t>投币箱</w:t>
            </w:r>
          </w:p>
        </w:tc>
        <w:tc>
          <w:tcPr>
            <w:tcW w:w="1110" w:type="dxa"/>
            <w:tcBorders>
              <w:top w:val="single" w:color="auto" w:sz="4" w:space="0"/>
              <w:left w:val="single" w:color="auto" w:sz="4" w:space="0"/>
              <w:bottom w:val="single" w:color="auto" w:sz="4" w:space="0"/>
              <w:right w:val="single" w:color="auto" w:sz="4" w:space="0"/>
            </w:tcBorders>
            <w:vAlign w:val="center"/>
          </w:tcPr>
          <w:p w14:paraId="6179F4A6">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val="en-US" w:eastAsia="zh-CN"/>
              </w:rPr>
              <w:t>项号44</w:t>
            </w:r>
          </w:p>
        </w:tc>
      </w:tr>
      <w:tr w14:paraId="3A949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left w:val="single" w:color="auto" w:sz="4" w:space="0"/>
              <w:right w:val="single" w:color="auto" w:sz="4" w:space="0"/>
            </w:tcBorders>
            <w:vAlign w:val="center"/>
          </w:tcPr>
          <w:p w14:paraId="3C2902D2">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501B5DA0">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CAN总线系统</w:t>
            </w:r>
          </w:p>
        </w:tc>
        <w:tc>
          <w:tcPr>
            <w:tcW w:w="6015" w:type="dxa"/>
            <w:tcBorders>
              <w:top w:val="single" w:color="auto" w:sz="4" w:space="0"/>
              <w:left w:val="single" w:color="auto" w:sz="4" w:space="0"/>
              <w:bottom w:val="single" w:color="auto" w:sz="4" w:space="0"/>
              <w:right w:val="single" w:color="auto" w:sz="4" w:space="0"/>
            </w:tcBorders>
            <w:vAlign w:val="center"/>
          </w:tcPr>
          <w:p w14:paraId="6B52AEF8">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CAN总线系统</w:t>
            </w:r>
          </w:p>
        </w:tc>
        <w:tc>
          <w:tcPr>
            <w:tcW w:w="1110" w:type="dxa"/>
            <w:tcBorders>
              <w:top w:val="single" w:color="auto" w:sz="4" w:space="0"/>
              <w:left w:val="single" w:color="auto" w:sz="4" w:space="0"/>
              <w:bottom w:val="single" w:color="auto" w:sz="4" w:space="0"/>
              <w:right w:val="single" w:color="auto" w:sz="4" w:space="0"/>
            </w:tcBorders>
            <w:vAlign w:val="center"/>
          </w:tcPr>
          <w:p w14:paraId="51A95C23">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项号45</w:t>
            </w:r>
          </w:p>
        </w:tc>
      </w:tr>
      <w:tr w14:paraId="7A66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left w:val="single" w:color="auto" w:sz="4" w:space="0"/>
              <w:right w:val="single" w:color="auto" w:sz="4" w:space="0"/>
            </w:tcBorders>
            <w:vAlign w:val="center"/>
          </w:tcPr>
          <w:p w14:paraId="6A29AB7E">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vMerge w:val="restart"/>
            <w:tcBorders>
              <w:top w:val="single" w:color="auto" w:sz="4" w:space="0"/>
              <w:left w:val="single" w:color="auto" w:sz="4" w:space="0"/>
              <w:bottom w:val="single" w:color="auto" w:sz="4" w:space="0"/>
              <w:right w:val="single" w:color="auto" w:sz="4" w:space="0"/>
            </w:tcBorders>
            <w:vAlign w:val="center"/>
          </w:tcPr>
          <w:p w14:paraId="05CD0994">
            <w:pPr>
              <w:spacing w:line="360" w:lineRule="auto"/>
              <w:jc w:val="center"/>
              <w:rPr>
                <w:rFonts w:ascii="宋体" w:hAnsi="宋体" w:eastAsia="宋体" w:cs="宋体"/>
                <w:color w:val="auto"/>
                <w:sz w:val="24"/>
                <w:szCs w:val="24"/>
              </w:rPr>
            </w:pPr>
            <w:r>
              <w:rPr>
                <w:rFonts w:hint="eastAsia" w:ascii="宋体" w:hAnsi="宋体" w:eastAsia="宋体" w:cs="宋体"/>
                <w:color w:val="auto"/>
                <w:sz w:val="24"/>
                <w:szCs w:val="24"/>
              </w:rPr>
              <w:t>车载监控</w:t>
            </w:r>
          </w:p>
          <w:p w14:paraId="4DE4D361">
            <w:pPr>
              <w:spacing w:line="360" w:lineRule="auto"/>
              <w:ind w:left="0" w:leftChars="0" w:right="0" w:rightChars="0"/>
              <w:jc w:val="center"/>
              <w:rPr>
                <w:rFonts w:hint="eastAsia" w:ascii="宋体" w:hAnsi="宋体" w:eastAsia="宋体" w:cs="宋体"/>
                <w:b w:val="0"/>
                <w:bCs/>
                <w:color w:val="auto"/>
                <w:sz w:val="24"/>
                <w:szCs w:val="24"/>
                <w:lang w:eastAsia="zh-CN"/>
              </w:rPr>
            </w:pPr>
            <w:r>
              <w:rPr>
                <w:rFonts w:hint="eastAsia" w:ascii="宋体" w:hAnsi="宋体" w:eastAsia="宋体" w:cs="宋体"/>
                <w:color w:val="auto"/>
                <w:sz w:val="24"/>
                <w:szCs w:val="24"/>
              </w:rPr>
              <w:t>系统</w:t>
            </w:r>
          </w:p>
        </w:tc>
        <w:tc>
          <w:tcPr>
            <w:tcW w:w="6015" w:type="dxa"/>
            <w:tcBorders>
              <w:top w:val="single" w:color="auto" w:sz="4" w:space="0"/>
              <w:left w:val="single" w:color="auto" w:sz="4" w:space="0"/>
              <w:bottom w:val="single" w:color="auto" w:sz="4" w:space="0"/>
              <w:right w:val="single" w:color="auto" w:sz="4" w:space="0"/>
            </w:tcBorders>
            <w:vAlign w:val="center"/>
          </w:tcPr>
          <w:p w14:paraId="0C73AB42">
            <w:pPr>
              <w:spacing w:line="360" w:lineRule="auto"/>
              <w:ind w:left="0" w:leftChars="0" w:right="0" w:rightChars="0"/>
              <w:rPr>
                <w:rFonts w:hint="default" w:ascii="宋体" w:hAnsi="宋体" w:eastAsia="宋体" w:cs="宋体"/>
                <w:b w:val="0"/>
                <w:bCs/>
                <w:color w:val="auto"/>
                <w:sz w:val="24"/>
                <w:szCs w:val="24"/>
                <w:lang w:val="en-US" w:eastAsia="zh-CN"/>
              </w:rPr>
            </w:pPr>
            <w:r>
              <w:rPr>
                <w:rFonts w:hint="eastAsia" w:ascii="宋体" w:hAnsi="宋体" w:eastAsia="宋体" w:cs="宋体"/>
                <w:color w:val="auto"/>
                <w:sz w:val="24"/>
                <w:szCs w:val="24"/>
              </w:rPr>
              <w:t>1.车外前后左右各安装1路高清摄像头，形成车外360°无死角的全景无缝拼接画面，满足3D成像，具备夜视功能。与公交车智能调度车载设备兼容，视频画面可接入司机操作屏，实现同一SIM卡网络通讯、同一硬盘录像，视频内容可接入采购人现在使用的视频监控系统</w:t>
            </w:r>
            <w:r>
              <w:rPr>
                <w:rFonts w:hint="eastAsia" w:cs="宋体"/>
                <w:color w:val="auto"/>
                <w:sz w:val="24"/>
                <w:szCs w:val="24"/>
                <w:lang w:eastAsia="zh-CN"/>
              </w:rPr>
              <w:t>，</w:t>
            </w:r>
            <w:r>
              <w:rPr>
                <w:rFonts w:hint="eastAsia" w:cs="宋体"/>
                <w:color w:val="auto"/>
                <w:sz w:val="24"/>
                <w:szCs w:val="24"/>
                <w:lang w:val="en-US" w:eastAsia="zh-CN"/>
              </w:rPr>
              <w:t>质保2年。</w:t>
            </w:r>
          </w:p>
        </w:tc>
        <w:tc>
          <w:tcPr>
            <w:tcW w:w="1110" w:type="dxa"/>
            <w:vMerge w:val="restart"/>
            <w:tcBorders>
              <w:top w:val="single" w:color="auto" w:sz="4" w:space="0"/>
              <w:left w:val="single" w:color="auto" w:sz="4" w:space="0"/>
              <w:right w:val="single" w:color="auto" w:sz="4" w:space="0"/>
            </w:tcBorders>
            <w:vAlign w:val="center"/>
          </w:tcPr>
          <w:p w14:paraId="015015F2">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项号46</w:t>
            </w:r>
          </w:p>
        </w:tc>
      </w:tr>
      <w:tr w14:paraId="7D3C6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left w:val="single" w:color="auto" w:sz="4" w:space="0"/>
              <w:right w:val="single" w:color="auto" w:sz="4" w:space="0"/>
            </w:tcBorders>
            <w:vAlign w:val="center"/>
          </w:tcPr>
          <w:p w14:paraId="3493A417">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vMerge w:val="continue"/>
            <w:tcBorders>
              <w:top w:val="single" w:color="auto" w:sz="4" w:space="0"/>
              <w:left w:val="single" w:color="auto" w:sz="4" w:space="0"/>
              <w:bottom w:val="single" w:color="auto" w:sz="4" w:space="0"/>
              <w:right w:val="single" w:color="auto" w:sz="4" w:space="0"/>
            </w:tcBorders>
            <w:vAlign w:val="center"/>
          </w:tcPr>
          <w:p w14:paraId="551E4ABA">
            <w:pPr>
              <w:spacing w:line="360" w:lineRule="auto"/>
              <w:ind w:left="0" w:leftChars="0" w:right="0" w:rightChars="0"/>
              <w:jc w:val="center"/>
              <w:rPr>
                <w:rFonts w:hint="eastAsia" w:ascii="宋体" w:hAnsi="宋体" w:eastAsia="宋体" w:cs="宋体"/>
                <w:b w:val="0"/>
                <w:bCs/>
                <w:color w:val="auto"/>
                <w:sz w:val="24"/>
                <w:szCs w:val="24"/>
                <w:lang w:eastAsia="zh-CN"/>
              </w:rPr>
            </w:pPr>
          </w:p>
        </w:tc>
        <w:tc>
          <w:tcPr>
            <w:tcW w:w="6015" w:type="dxa"/>
            <w:tcBorders>
              <w:top w:val="single" w:color="auto" w:sz="4" w:space="0"/>
              <w:left w:val="single" w:color="auto" w:sz="4" w:space="0"/>
              <w:bottom w:val="single" w:color="auto" w:sz="4" w:space="0"/>
              <w:right w:val="single" w:color="auto" w:sz="4" w:space="0"/>
            </w:tcBorders>
            <w:vAlign w:val="center"/>
          </w:tcPr>
          <w:p w14:paraId="716354E6">
            <w:pPr>
              <w:spacing w:line="360" w:lineRule="auto"/>
              <w:ind w:left="0" w:leftChars="0" w:right="0" w:rightChars="0"/>
              <w:rPr>
                <w:rFonts w:hint="eastAsia" w:ascii="宋体" w:hAnsi="宋体" w:eastAsia="宋体" w:cs="宋体"/>
                <w:b w:val="0"/>
                <w:bCs/>
                <w:color w:val="auto"/>
                <w:sz w:val="24"/>
                <w:szCs w:val="24"/>
                <w:lang w:eastAsia="zh-CN"/>
              </w:rPr>
            </w:pPr>
            <w:r>
              <w:rPr>
                <w:rFonts w:hint="eastAsia" w:ascii="宋体" w:hAnsi="宋体" w:eastAsia="宋体" w:cs="宋体"/>
                <w:color w:val="auto"/>
                <w:sz w:val="24"/>
                <w:szCs w:val="24"/>
              </w:rPr>
              <w:t>2.具备事后取证功能，全景视频通过环视主机拼接后形成一路TVI或AHD视频信号，可存储至智能调度车载设备。当车辆发生紧急情况时，确保重要录像不丢失。</w:t>
            </w:r>
          </w:p>
        </w:tc>
        <w:tc>
          <w:tcPr>
            <w:tcW w:w="1110" w:type="dxa"/>
            <w:vMerge w:val="continue"/>
            <w:tcBorders>
              <w:left w:val="single" w:color="auto" w:sz="4" w:space="0"/>
              <w:right w:val="single" w:color="auto" w:sz="4" w:space="0"/>
            </w:tcBorders>
            <w:vAlign w:val="center"/>
          </w:tcPr>
          <w:p w14:paraId="698DF813">
            <w:pPr>
              <w:pStyle w:val="26"/>
              <w:spacing w:before="105" w:after="150" w:line="360" w:lineRule="auto"/>
              <w:jc w:val="left"/>
              <w:rPr>
                <w:rFonts w:hint="eastAsia" w:ascii="宋体" w:hAnsi="宋体" w:eastAsia="宋体" w:cs="宋体"/>
                <w:b w:val="0"/>
                <w:bCs/>
                <w:color w:val="auto"/>
                <w:sz w:val="24"/>
                <w:szCs w:val="24"/>
                <w:lang w:val="en-US" w:eastAsia="zh-CN"/>
              </w:rPr>
            </w:pPr>
          </w:p>
        </w:tc>
      </w:tr>
      <w:tr w14:paraId="163B8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left w:val="single" w:color="auto" w:sz="4" w:space="0"/>
              <w:right w:val="single" w:color="auto" w:sz="4" w:space="0"/>
            </w:tcBorders>
            <w:vAlign w:val="center"/>
          </w:tcPr>
          <w:p w14:paraId="0826FFC6">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vMerge w:val="continue"/>
            <w:tcBorders>
              <w:top w:val="single" w:color="auto" w:sz="4" w:space="0"/>
              <w:left w:val="single" w:color="auto" w:sz="4" w:space="0"/>
              <w:bottom w:val="single" w:color="auto" w:sz="4" w:space="0"/>
              <w:right w:val="single" w:color="auto" w:sz="4" w:space="0"/>
            </w:tcBorders>
            <w:vAlign w:val="center"/>
          </w:tcPr>
          <w:p w14:paraId="3D70D060">
            <w:pPr>
              <w:spacing w:line="360" w:lineRule="auto"/>
              <w:ind w:left="0" w:leftChars="0" w:right="0" w:rightChars="0"/>
              <w:jc w:val="center"/>
              <w:rPr>
                <w:rFonts w:hint="eastAsia" w:ascii="宋体" w:hAnsi="宋体" w:eastAsia="宋体" w:cs="宋体"/>
                <w:b w:val="0"/>
                <w:bCs/>
                <w:color w:val="auto"/>
                <w:sz w:val="24"/>
                <w:szCs w:val="24"/>
                <w:lang w:eastAsia="zh-CN"/>
              </w:rPr>
            </w:pPr>
          </w:p>
        </w:tc>
        <w:tc>
          <w:tcPr>
            <w:tcW w:w="6015" w:type="dxa"/>
            <w:tcBorders>
              <w:top w:val="single" w:color="auto" w:sz="4" w:space="0"/>
              <w:left w:val="single" w:color="auto" w:sz="4" w:space="0"/>
              <w:bottom w:val="single" w:color="auto" w:sz="4" w:space="0"/>
              <w:right w:val="single" w:color="auto" w:sz="4" w:space="0"/>
            </w:tcBorders>
            <w:vAlign w:val="center"/>
          </w:tcPr>
          <w:p w14:paraId="582CECE2">
            <w:pPr>
              <w:spacing w:line="360" w:lineRule="auto"/>
              <w:ind w:left="0" w:leftChars="0" w:right="0" w:rightChars="0"/>
              <w:rPr>
                <w:rFonts w:hint="eastAsia" w:ascii="宋体" w:hAnsi="宋体" w:eastAsia="宋体" w:cs="宋体"/>
                <w:b w:val="0"/>
                <w:bCs/>
                <w:color w:val="auto"/>
                <w:sz w:val="24"/>
                <w:szCs w:val="24"/>
                <w:lang w:eastAsia="zh-CN"/>
              </w:rPr>
            </w:pPr>
            <w:r>
              <w:rPr>
                <w:rFonts w:hint="eastAsia" w:ascii="宋体" w:hAnsi="宋体" w:eastAsia="宋体" w:cs="宋体"/>
                <w:color w:val="auto"/>
                <w:sz w:val="24"/>
                <w:szCs w:val="24"/>
              </w:rPr>
              <w:t>3.司机安全驾驶辅助360系统具备自检功能，可通过呼吸灯的状态或外接显示屏明确显示设备当前主要状态，包括：主电源状态、与司机安全驾驶辅助360系统主机相连的其它设备状态等。若出现故障，支持通过信号灯或显示屏指示故障信息，并存储故障信息到设备中。</w:t>
            </w:r>
          </w:p>
        </w:tc>
        <w:tc>
          <w:tcPr>
            <w:tcW w:w="1110" w:type="dxa"/>
            <w:vMerge w:val="continue"/>
            <w:tcBorders>
              <w:left w:val="single" w:color="auto" w:sz="4" w:space="0"/>
              <w:right w:val="single" w:color="auto" w:sz="4" w:space="0"/>
            </w:tcBorders>
            <w:vAlign w:val="center"/>
          </w:tcPr>
          <w:p w14:paraId="724C1A92">
            <w:pPr>
              <w:pStyle w:val="26"/>
              <w:spacing w:before="105" w:after="150" w:line="360" w:lineRule="auto"/>
              <w:jc w:val="left"/>
              <w:rPr>
                <w:rFonts w:hint="eastAsia" w:ascii="宋体" w:hAnsi="宋体" w:eastAsia="宋体" w:cs="宋体"/>
                <w:b w:val="0"/>
                <w:bCs/>
                <w:color w:val="auto"/>
                <w:sz w:val="24"/>
                <w:szCs w:val="24"/>
                <w:lang w:val="en-US" w:eastAsia="zh-CN"/>
              </w:rPr>
            </w:pPr>
          </w:p>
        </w:tc>
      </w:tr>
      <w:tr w14:paraId="517F5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left w:val="single" w:color="auto" w:sz="4" w:space="0"/>
              <w:right w:val="single" w:color="auto" w:sz="4" w:space="0"/>
            </w:tcBorders>
            <w:vAlign w:val="center"/>
          </w:tcPr>
          <w:p w14:paraId="6EABF2F5">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vMerge w:val="continue"/>
            <w:tcBorders>
              <w:top w:val="single" w:color="auto" w:sz="4" w:space="0"/>
              <w:left w:val="single" w:color="auto" w:sz="4" w:space="0"/>
              <w:bottom w:val="single" w:color="auto" w:sz="4" w:space="0"/>
              <w:right w:val="single" w:color="auto" w:sz="4" w:space="0"/>
            </w:tcBorders>
            <w:vAlign w:val="center"/>
          </w:tcPr>
          <w:p w14:paraId="76C9A500">
            <w:pPr>
              <w:spacing w:line="360" w:lineRule="auto"/>
              <w:ind w:left="0" w:leftChars="0" w:right="0" w:rightChars="0"/>
              <w:jc w:val="center"/>
              <w:rPr>
                <w:rFonts w:hint="eastAsia" w:ascii="宋体" w:hAnsi="宋体" w:eastAsia="宋体" w:cs="宋体"/>
                <w:b w:val="0"/>
                <w:bCs/>
                <w:color w:val="auto"/>
                <w:sz w:val="24"/>
                <w:szCs w:val="24"/>
                <w:lang w:eastAsia="zh-CN"/>
              </w:rPr>
            </w:pPr>
          </w:p>
        </w:tc>
        <w:tc>
          <w:tcPr>
            <w:tcW w:w="6015" w:type="dxa"/>
            <w:tcBorders>
              <w:top w:val="single" w:color="auto" w:sz="4" w:space="0"/>
              <w:left w:val="single" w:color="auto" w:sz="4" w:space="0"/>
              <w:bottom w:val="single" w:color="auto" w:sz="4" w:space="0"/>
              <w:right w:val="single" w:color="auto" w:sz="4" w:space="0"/>
            </w:tcBorders>
            <w:vAlign w:val="center"/>
          </w:tcPr>
          <w:p w14:paraId="3DCE8FEC">
            <w:pPr>
              <w:spacing w:line="360" w:lineRule="auto"/>
              <w:ind w:left="0" w:leftChars="0" w:right="0" w:rightChars="0"/>
              <w:rPr>
                <w:rFonts w:hint="eastAsia" w:ascii="宋体" w:hAnsi="宋体" w:eastAsia="宋体" w:cs="宋体"/>
                <w:b w:val="0"/>
                <w:bCs/>
                <w:color w:val="auto"/>
                <w:sz w:val="24"/>
                <w:szCs w:val="24"/>
                <w:lang w:eastAsia="zh-CN"/>
              </w:rPr>
            </w:pPr>
            <w:r>
              <w:rPr>
                <w:rFonts w:hint="eastAsia" w:cs="宋体"/>
                <w:color w:val="auto"/>
                <w:sz w:val="24"/>
                <w:szCs w:val="24"/>
                <w:lang w:val="en-US" w:eastAsia="zh-CN"/>
              </w:rPr>
              <w:t>4</w:t>
            </w:r>
            <w:r>
              <w:rPr>
                <w:rFonts w:hint="eastAsia" w:ascii="宋体" w:hAnsi="宋体" w:eastAsia="宋体" w:cs="宋体"/>
                <w:color w:val="auto"/>
                <w:sz w:val="24"/>
                <w:szCs w:val="24"/>
              </w:rPr>
              <w:t>.设备可支持通过硬线或CAN接口接入车身CAN信号，可通过判断挡位、转向灯、车速、方向盘转角信号自动切换视角。</w:t>
            </w:r>
          </w:p>
        </w:tc>
        <w:tc>
          <w:tcPr>
            <w:tcW w:w="1110" w:type="dxa"/>
            <w:vMerge w:val="continue"/>
            <w:tcBorders>
              <w:left w:val="single" w:color="auto" w:sz="4" w:space="0"/>
              <w:right w:val="single" w:color="auto" w:sz="4" w:space="0"/>
            </w:tcBorders>
            <w:vAlign w:val="center"/>
          </w:tcPr>
          <w:p w14:paraId="2BA438F3">
            <w:pPr>
              <w:pStyle w:val="26"/>
              <w:spacing w:before="105" w:after="150" w:line="360" w:lineRule="auto"/>
              <w:jc w:val="left"/>
              <w:rPr>
                <w:rFonts w:hint="eastAsia" w:ascii="宋体" w:hAnsi="宋体" w:eastAsia="宋体" w:cs="宋体"/>
                <w:b w:val="0"/>
                <w:bCs/>
                <w:color w:val="auto"/>
                <w:sz w:val="24"/>
                <w:szCs w:val="24"/>
                <w:lang w:val="en-US" w:eastAsia="zh-CN"/>
              </w:rPr>
            </w:pPr>
          </w:p>
        </w:tc>
      </w:tr>
      <w:tr w14:paraId="6F3C1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left w:val="single" w:color="auto" w:sz="4" w:space="0"/>
              <w:right w:val="single" w:color="auto" w:sz="4" w:space="0"/>
            </w:tcBorders>
            <w:vAlign w:val="center"/>
          </w:tcPr>
          <w:p w14:paraId="1F4027B4">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vMerge w:val="continue"/>
            <w:tcBorders>
              <w:top w:val="single" w:color="auto" w:sz="4" w:space="0"/>
              <w:left w:val="single" w:color="auto" w:sz="4" w:space="0"/>
              <w:bottom w:val="single" w:color="auto" w:sz="4" w:space="0"/>
              <w:right w:val="single" w:color="auto" w:sz="4" w:space="0"/>
            </w:tcBorders>
            <w:vAlign w:val="center"/>
          </w:tcPr>
          <w:p w14:paraId="1204A9DD">
            <w:pPr>
              <w:spacing w:line="360" w:lineRule="auto"/>
              <w:ind w:left="0" w:leftChars="0" w:right="0" w:rightChars="0"/>
              <w:jc w:val="center"/>
              <w:rPr>
                <w:rFonts w:hint="eastAsia" w:ascii="宋体" w:hAnsi="宋体" w:eastAsia="宋体" w:cs="宋体"/>
                <w:b w:val="0"/>
                <w:bCs/>
                <w:color w:val="auto"/>
                <w:sz w:val="24"/>
                <w:szCs w:val="24"/>
                <w:lang w:eastAsia="zh-CN"/>
              </w:rPr>
            </w:pPr>
          </w:p>
        </w:tc>
        <w:tc>
          <w:tcPr>
            <w:tcW w:w="6015" w:type="dxa"/>
            <w:tcBorders>
              <w:top w:val="single" w:color="auto" w:sz="4" w:space="0"/>
              <w:left w:val="single" w:color="auto" w:sz="4" w:space="0"/>
              <w:bottom w:val="single" w:color="auto" w:sz="4" w:space="0"/>
              <w:right w:val="single" w:color="auto" w:sz="4" w:space="0"/>
            </w:tcBorders>
            <w:vAlign w:val="center"/>
          </w:tcPr>
          <w:p w14:paraId="322DE2B9">
            <w:pPr>
              <w:spacing w:line="360" w:lineRule="auto"/>
              <w:ind w:left="0" w:leftChars="0" w:right="0" w:rightChars="0"/>
              <w:rPr>
                <w:rFonts w:hint="eastAsia" w:ascii="宋体" w:hAnsi="宋体" w:eastAsia="宋体" w:cs="宋体"/>
                <w:b w:val="0"/>
                <w:bCs/>
                <w:color w:val="auto"/>
                <w:sz w:val="24"/>
                <w:szCs w:val="24"/>
                <w:lang w:eastAsia="zh-CN"/>
              </w:rPr>
            </w:pPr>
            <w:r>
              <w:rPr>
                <w:rFonts w:hint="eastAsia"/>
                <w:color w:val="auto"/>
                <w:sz w:val="24"/>
                <w:szCs w:val="24"/>
                <w:lang w:val="en-US" w:eastAsia="zh-CN"/>
              </w:rPr>
              <w:t>5.</w:t>
            </w:r>
            <w:r>
              <w:rPr>
                <w:rFonts w:hint="eastAsia"/>
                <w:color w:val="auto"/>
                <w:sz w:val="24"/>
                <w:szCs w:val="24"/>
              </w:rPr>
              <w:t>司机安全驾驶辅助360系统主机具备3D成像功能，支持车辆模型在拼接画面中以3D模型显示，画面更直观、代入感更强，帮助司机更直接地查看车辆情况。司机安全驾驶辅助360系统主机支持2D/3D平滑切换，切换过程中画面连接顺畅不漏秒。</w:t>
            </w:r>
          </w:p>
        </w:tc>
        <w:tc>
          <w:tcPr>
            <w:tcW w:w="1110" w:type="dxa"/>
            <w:vMerge w:val="continue"/>
            <w:tcBorders>
              <w:left w:val="single" w:color="auto" w:sz="4" w:space="0"/>
              <w:bottom w:val="single" w:color="auto" w:sz="4" w:space="0"/>
              <w:right w:val="single" w:color="auto" w:sz="4" w:space="0"/>
            </w:tcBorders>
            <w:vAlign w:val="center"/>
          </w:tcPr>
          <w:p w14:paraId="17FEEEC5">
            <w:pPr>
              <w:pStyle w:val="26"/>
              <w:spacing w:before="105" w:after="150" w:line="360" w:lineRule="auto"/>
              <w:jc w:val="left"/>
              <w:rPr>
                <w:rFonts w:hint="eastAsia" w:ascii="宋体" w:hAnsi="宋体" w:eastAsia="宋体" w:cs="宋体"/>
                <w:b w:val="0"/>
                <w:bCs/>
                <w:color w:val="auto"/>
                <w:sz w:val="24"/>
                <w:szCs w:val="24"/>
                <w:lang w:val="en-US" w:eastAsia="zh-CN"/>
              </w:rPr>
            </w:pPr>
          </w:p>
        </w:tc>
      </w:tr>
      <w:tr w14:paraId="5512D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left w:val="single" w:color="auto" w:sz="4" w:space="0"/>
              <w:right w:val="single" w:color="auto" w:sz="4" w:space="0"/>
            </w:tcBorders>
            <w:vAlign w:val="center"/>
          </w:tcPr>
          <w:p w14:paraId="16EBB55D">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0F9AA8F0">
            <w:pPr>
              <w:spacing w:line="360" w:lineRule="auto"/>
              <w:ind w:left="0" w:leftChars="0" w:right="0" w:rightChars="0"/>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w:t>
            </w:r>
            <w:r>
              <w:rPr>
                <w:rFonts w:hint="eastAsia"/>
                <w:color w:val="auto"/>
                <w:sz w:val="24"/>
                <w:szCs w:val="24"/>
              </w:rPr>
              <w:t>GPS调度系统一体机</w:t>
            </w:r>
            <w:r>
              <w:rPr>
                <w:rFonts w:hint="eastAsia"/>
                <w:color w:val="auto"/>
                <w:sz w:val="24"/>
                <w:szCs w:val="24"/>
                <w:lang w:val="en-US" w:eastAsia="zh-CN"/>
              </w:rPr>
              <w:t xml:space="preserve"> </w:t>
            </w:r>
          </w:p>
        </w:tc>
        <w:tc>
          <w:tcPr>
            <w:tcW w:w="6015" w:type="dxa"/>
            <w:tcBorders>
              <w:top w:val="single" w:color="auto" w:sz="4" w:space="0"/>
              <w:left w:val="single" w:color="auto" w:sz="4" w:space="0"/>
              <w:bottom w:val="single" w:color="auto" w:sz="4" w:space="0"/>
              <w:right w:val="single" w:color="auto" w:sz="4" w:space="0"/>
            </w:tcBorders>
            <w:vAlign w:val="center"/>
          </w:tcPr>
          <w:p w14:paraId="2859B394">
            <w:pPr>
              <w:spacing w:line="360" w:lineRule="auto"/>
              <w:ind w:left="0" w:leftChars="0" w:right="0" w:rightChars="0"/>
              <w:rPr>
                <w:rFonts w:hint="eastAsia" w:ascii="宋体" w:hAnsi="宋体" w:eastAsia="宋体" w:cs="宋体"/>
                <w:b w:val="0"/>
                <w:bCs/>
                <w:color w:val="auto"/>
                <w:sz w:val="24"/>
                <w:szCs w:val="24"/>
                <w:lang w:eastAsia="zh-CN"/>
              </w:rPr>
            </w:pPr>
            <w:r>
              <w:rPr>
                <w:rFonts w:hint="eastAsia"/>
                <w:color w:val="auto"/>
                <w:sz w:val="24"/>
                <w:szCs w:val="24"/>
              </w:rPr>
              <w:t>具备GPS/北斗双模定位、4G全网通网络通讯、支持8路及以上视频监控录像、2T机械硬盘、主动安全DSM+ADAS和一键报警装置等配置，实现司机考勤、智能调度、自动报站功能，实现司机疲劳驾驶报警、接打电话报警、抽烟吃零食报警、分神报警、预防前碰撞和车道偏离报警等主动安全预警功能。整套设备实现同一张SIM卡网络通讯，与采购人现在使用的智能调度管理系统无缝对接，并保障数据无缝对接至《福建省城市公交智能管理平台》和省动态监管平台，保障不影响采购人成本规制相关考核要求。一键报警实现与采购人现在使用的一键报警系统无缝对接。</w:t>
            </w:r>
          </w:p>
        </w:tc>
        <w:tc>
          <w:tcPr>
            <w:tcW w:w="1110" w:type="dxa"/>
            <w:tcBorders>
              <w:top w:val="single" w:color="auto" w:sz="4" w:space="0"/>
              <w:left w:val="single" w:color="auto" w:sz="4" w:space="0"/>
              <w:bottom w:val="single" w:color="auto" w:sz="4" w:space="0"/>
              <w:right w:val="single" w:color="auto" w:sz="4" w:space="0"/>
            </w:tcBorders>
            <w:vAlign w:val="center"/>
          </w:tcPr>
          <w:p w14:paraId="553EBE32">
            <w:pPr>
              <w:pStyle w:val="26"/>
              <w:spacing w:before="105" w:after="150" w:line="360" w:lineRule="auto"/>
              <w:jc w:val="left"/>
              <w:rPr>
                <w:rFonts w:hint="default"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项号47</w:t>
            </w:r>
          </w:p>
        </w:tc>
      </w:tr>
      <w:tr w14:paraId="135D1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left w:val="single" w:color="auto" w:sz="4" w:space="0"/>
              <w:right w:val="single" w:color="auto" w:sz="4" w:space="0"/>
            </w:tcBorders>
            <w:vAlign w:val="center"/>
          </w:tcPr>
          <w:p w14:paraId="68DD5F5C">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7CA0D3DE">
            <w:pPr>
              <w:spacing w:line="360" w:lineRule="auto"/>
              <w:ind w:left="0" w:leftChars="0" w:right="0" w:rightChars="0"/>
              <w:rPr>
                <w:rFonts w:hint="eastAsia" w:ascii="宋体" w:hAnsi="宋体" w:eastAsia="宋体" w:cs="宋体"/>
                <w:b w:val="0"/>
                <w:bCs/>
                <w:color w:val="auto"/>
                <w:sz w:val="24"/>
                <w:szCs w:val="24"/>
                <w:lang w:eastAsia="zh-CN"/>
              </w:rPr>
            </w:pPr>
            <w:r>
              <w:rPr>
                <w:rFonts w:hint="eastAsia"/>
                <w:color w:val="auto"/>
                <w:sz w:val="24"/>
                <w:szCs w:val="24"/>
              </w:rPr>
              <w:t>一键报警系统</w:t>
            </w:r>
          </w:p>
        </w:tc>
        <w:tc>
          <w:tcPr>
            <w:tcW w:w="6015" w:type="dxa"/>
            <w:tcBorders>
              <w:top w:val="single" w:color="auto" w:sz="4" w:space="0"/>
              <w:left w:val="single" w:color="auto" w:sz="4" w:space="0"/>
              <w:bottom w:val="single" w:color="auto" w:sz="4" w:space="0"/>
              <w:right w:val="single" w:color="auto" w:sz="4" w:space="0"/>
            </w:tcBorders>
            <w:vAlign w:val="center"/>
          </w:tcPr>
          <w:p w14:paraId="6EF72F19">
            <w:pPr>
              <w:spacing w:line="360" w:lineRule="auto"/>
              <w:ind w:left="0" w:leftChars="0" w:right="0" w:rightChars="0"/>
              <w:rPr>
                <w:rFonts w:hint="eastAsia" w:ascii="宋体" w:hAnsi="宋体" w:eastAsia="宋体" w:cs="宋体"/>
                <w:b w:val="0"/>
                <w:bCs/>
                <w:color w:val="auto"/>
                <w:sz w:val="24"/>
                <w:szCs w:val="24"/>
                <w:lang w:eastAsia="zh-CN"/>
              </w:rPr>
            </w:pPr>
            <w:r>
              <w:rPr>
                <w:rFonts w:hint="eastAsia"/>
                <w:color w:val="auto"/>
                <w:sz w:val="24"/>
                <w:szCs w:val="24"/>
              </w:rPr>
              <w:t>具备自锁式开关、防勿碰保护罩；具备公交车行驶途中出现突发事件时，驾驶员触发一键报警按钮后，车载终端于第一时间将突发警情信息传输至公交调度指挥中心</w:t>
            </w:r>
            <w:r>
              <w:rPr>
                <w:rFonts w:hint="eastAsia"/>
                <w:color w:val="auto"/>
                <w:sz w:val="24"/>
                <w:szCs w:val="24"/>
                <w:lang w:val="en-US" w:eastAsia="zh-CN"/>
              </w:rPr>
              <w:t>现在使用的一键报警系统</w:t>
            </w:r>
            <w:r>
              <w:rPr>
                <w:rFonts w:hint="eastAsia"/>
                <w:color w:val="auto"/>
                <w:sz w:val="24"/>
                <w:szCs w:val="24"/>
                <w:lang w:eastAsia="zh-CN"/>
              </w:rPr>
              <w:t>，</w:t>
            </w:r>
            <w:r>
              <w:rPr>
                <w:rFonts w:hint="eastAsia"/>
                <w:color w:val="auto"/>
                <w:sz w:val="24"/>
                <w:szCs w:val="24"/>
                <w:lang w:val="en-US" w:eastAsia="zh-CN"/>
              </w:rPr>
              <w:t>报警信息包含：</w:t>
            </w:r>
            <w:r>
              <w:rPr>
                <w:rFonts w:hint="eastAsia"/>
                <w:color w:val="auto"/>
                <w:sz w:val="24"/>
                <w:szCs w:val="24"/>
              </w:rPr>
              <w:t>基础数据事发位置（电子地图，车辆定位），车辆详情（车牌），司机信息（姓名、手机号码），轨迹回放、视频监控（原图传输）、重点监控功能等数据的同步更新。</w:t>
            </w:r>
          </w:p>
        </w:tc>
        <w:tc>
          <w:tcPr>
            <w:tcW w:w="1110" w:type="dxa"/>
            <w:vMerge w:val="restart"/>
            <w:tcBorders>
              <w:top w:val="single" w:color="auto" w:sz="4" w:space="0"/>
              <w:left w:val="single" w:color="auto" w:sz="4" w:space="0"/>
              <w:right w:val="single" w:color="auto" w:sz="4" w:space="0"/>
            </w:tcBorders>
            <w:vAlign w:val="center"/>
          </w:tcPr>
          <w:p w14:paraId="285F3354">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项号48</w:t>
            </w:r>
          </w:p>
          <w:p w14:paraId="71317A00">
            <w:pPr>
              <w:pStyle w:val="26"/>
              <w:spacing w:before="105" w:after="150" w:line="360" w:lineRule="auto"/>
              <w:jc w:val="left"/>
              <w:rPr>
                <w:rFonts w:hint="eastAsia" w:ascii="宋体" w:hAnsi="宋体" w:eastAsia="宋体" w:cs="宋体"/>
                <w:b w:val="0"/>
                <w:bCs/>
                <w:color w:val="auto"/>
                <w:sz w:val="24"/>
                <w:szCs w:val="24"/>
                <w:lang w:val="en-US" w:eastAsia="zh-CN"/>
              </w:rPr>
            </w:pPr>
          </w:p>
        </w:tc>
      </w:tr>
      <w:tr w14:paraId="23B3C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left w:val="single" w:color="auto" w:sz="4" w:space="0"/>
              <w:right w:val="single" w:color="auto" w:sz="4" w:space="0"/>
            </w:tcBorders>
            <w:vAlign w:val="center"/>
          </w:tcPr>
          <w:p w14:paraId="6CF84C02">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567F5791">
            <w:pPr>
              <w:pStyle w:val="26"/>
              <w:spacing w:before="105" w:after="150" w:line="360" w:lineRule="auto"/>
              <w:jc w:val="left"/>
              <w:rPr>
                <w:rFonts w:hint="default"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路牌</w:t>
            </w:r>
          </w:p>
        </w:tc>
        <w:tc>
          <w:tcPr>
            <w:tcW w:w="6015" w:type="dxa"/>
            <w:tcBorders>
              <w:top w:val="single" w:color="auto" w:sz="4" w:space="0"/>
              <w:left w:val="single" w:color="auto" w:sz="4" w:space="0"/>
              <w:bottom w:val="single" w:color="auto" w:sz="4" w:space="0"/>
              <w:right w:val="single" w:color="auto" w:sz="4" w:space="0"/>
            </w:tcBorders>
            <w:vAlign w:val="center"/>
          </w:tcPr>
          <w:p w14:paraId="4B09FAE4">
            <w:pPr>
              <w:pStyle w:val="26"/>
              <w:spacing w:before="105" w:after="150" w:line="360" w:lineRule="auto"/>
              <w:jc w:val="left"/>
              <w:rPr>
                <w:rFonts w:hint="default"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前后安装LED路牌，右侧安装LED腰牌,司机包围后面安装车内24寸LCD高亮液晶屏，带本地更新广告节目播放，与调度485协议通讯联动，实时显示线路信息，到站信息，质保3年。</w:t>
            </w:r>
          </w:p>
        </w:tc>
        <w:tc>
          <w:tcPr>
            <w:tcW w:w="1110" w:type="dxa"/>
            <w:vMerge w:val="continue"/>
            <w:tcBorders>
              <w:left w:val="single" w:color="auto" w:sz="4" w:space="0"/>
              <w:right w:val="single" w:color="auto" w:sz="4" w:space="0"/>
            </w:tcBorders>
            <w:vAlign w:val="center"/>
          </w:tcPr>
          <w:p w14:paraId="1EE1F4E4">
            <w:pPr>
              <w:pStyle w:val="26"/>
              <w:spacing w:before="105" w:after="150" w:line="360" w:lineRule="auto"/>
              <w:jc w:val="left"/>
              <w:rPr>
                <w:rFonts w:hint="eastAsia" w:ascii="宋体" w:hAnsi="宋体" w:eastAsia="宋体" w:cs="宋体"/>
                <w:b w:val="0"/>
                <w:bCs/>
                <w:color w:val="auto"/>
                <w:sz w:val="24"/>
                <w:szCs w:val="24"/>
                <w:lang w:val="en-US" w:eastAsia="zh-CN"/>
              </w:rPr>
            </w:pPr>
          </w:p>
        </w:tc>
      </w:tr>
      <w:tr w14:paraId="05984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left w:val="single" w:color="auto" w:sz="4" w:space="0"/>
              <w:right w:val="single" w:color="auto" w:sz="4" w:space="0"/>
            </w:tcBorders>
            <w:vAlign w:val="center"/>
          </w:tcPr>
          <w:p w14:paraId="1EB998B1">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61D123BD">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车身颜色及喷字</w:t>
            </w:r>
          </w:p>
        </w:tc>
        <w:tc>
          <w:tcPr>
            <w:tcW w:w="6015" w:type="dxa"/>
            <w:tcBorders>
              <w:top w:val="single" w:color="auto" w:sz="4" w:space="0"/>
              <w:left w:val="single" w:color="auto" w:sz="4" w:space="0"/>
              <w:bottom w:val="single" w:color="auto" w:sz="4" w:space="0"/>
              <w:right w:val="single" w:color="auto" w:sz="4" w:space="0"/>
            </w:tcBorders>
            <w:vAlign w:val="center"/>
          </w:tcPr>
          <w:p w14:paraId="08868DA8">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sz w:val="24"/>
                <w:szCs w:val="24"/>
              </w:rPr>
              <w:t>前门后喷“严禁携带危险品上车”和“前门上车”， 最高限载人数；后门喷“后门下车”，驾驶室上方喷</w:t>
            </w:r>
            <w:r>
              <w:rPr>
                <w:rFonts w:hint="eastAsia" w:ascii="宋体" w:hAnsi="宋体"/>
                <w:color w:val="auto"/>
                <w:sz w:val="24"/>
                <w:szCs w:val="24"/>
              </w:rPr>
              <w:t>“严禁与驾驶员闲谈”，</w:t>
            </w:r>
            <w:r>
              <w:rPr>
                <w:rFonts w:hint="eastAsia" w:ascii="宋体" w:hAnsi="宋体"/>
                <w:sz w:val="24"/>
                <w:szCs w:val="24"/>
              </w:rPr>
              <w:t>后门对面的风道喷“严禁吸烟标志”</w:t>
            </w:r>
            <w:r>
              <w:rPr>
                <w:rFonts w:hint="eastAsia" w:ascii="宋体" w:hAnsi="宋体" w:eastAsia="宋体" w:cs="宋体"/>
                <w:b w:val="0"/>
                <w:bCs/>
                <w:color w:val="auto"/>
                <w:sz w:val="24"/>
                <w:szCs w:val="24"/>
                <w:lang w:eastAsia="zh-CN"/>
              </w:rPr>
              <w:t>驾驶室外车厢上喷圆弧形的</w:t>
            </w:r>
            <w:r>
              <w:rPr>
                <w:rFonts w:hint="eastAsia" w:ascii="宋体" w:hAnsi="宋体" w:eastAsia="宋体" w:cs="宋体"/>
                <w:b w:val="0"/>
                <w:bCs/>
                <w:color w:val="auto"/>
                <w:sz w:val="24"/>
                <w:szCs w:val="24"/>
                <w:lang w:val="en-US" w:eastAsia="zh-CN"/>
              </w:rPr>
              <w:t>企业</w:t>
            </w:r>
            <w:r>
              <w:rPr>
                <w:rFonts w:hint="eastAsia" w:ascii="宋体" w:hAnsi="宋体" w:eastAsia="宋体" w:cs="宋体"/>
                <w:b w:val="0"/>
                <w:bCs/>
                <w:color w:val="auto"/>
                <w:sz w:val="24"/>
                <w:szCs w:val="24"/>
                <w:lang w:eastAsia="zh-CN"/>
              </w:rPr>
              <w:t>全称</w:t>
            </w:r>
            <w:r>
              <w:rPr>
                <w:rFonts w:hint="eastAsia" w:ascii="宋体" w:hAnsi="宋体" w:eastAsia="宋体" w:cs="宋体"/>
                <w:b w:val="0"/>
                <w:bCs/>
                <w:color w:val="auto"/>
                <w:sz w:val="24"/>
                <w:szCs w:val="24"/>
                <w:lang w:val="en-US" w:eastAsia="zh-CN"/>
              </w:rPr>
              <w:t>等</w:t>
            </w:r>
            <w:r>
              <w:rPr>
                <w:rFonts w:hint="eastAsia" w:ascii="宋体" w:hAnsi="宋体" w:eastAsia="宋体" w:cs="宋体"/>
                <w:b w:val="0"/>
                <w:bCs/>
                <w:color w:val="auto"/>
                <w:sz w:val="24"/>
                <w:szCs w:val="24"/>
                <w:lang w:eastAsia="zh-CN"/>
              </w:rPr>
              <w:t>，车身颜色：</w:t>
            </w:r>
            <w:r>
              <w:rPr>
                <w:rFonts w:hint="eastAsia" w:ascii="宋体" w:hAnsi="宋体" w:eastAsia="宋体" w:cs="宋体"/>
                <w:b w:val="0"/>
                <w:bCs/>
                <w:color w:val="auto"/>
                <w:sz w:val="24"/>
                <w:szCs w:val="24"/>
                <w:lang w:val="en-US" w:eastAsia="zh-CN"/>
              </w:rPr>
              <w:t>金属漆，颜色</w:t>
            </w:r>
            <w:r>
              <w:rPr>
                <w:rFonts w:hint="eastAsia" w:ascii="宋体" w:hAnsi="宋体" w:eastAsia="宋体" w:cs="宋体"/>
                <w:b w:val="0"/>
                <w:bCs/>
                <w:color w:val="auto"/>
                <w:sz w:val="24"/>
                <w:szCs w:val="24"/>
                <w:lang w:eastAsia="zh-CN"/>
              </w:rPr>
              <w:t>满足业主需要。</w:t>
            </w:r>
          </w:p>
        </w:tc>
        <w:tc>
          <w:tcPr>
            <w:tcW w:w="1110" w:type="dxa"/>
            <w:vMerge w:val="continue"/>
            <w:tcBorders>
              <w:left w:val="single" w:color="auto" w:sz="4" w:space="0"/>
              <w:right w:val="single" w:color="auto" w:sz="4" w:space="0"/>
            </w:tcBorders>
            <w:vAlign w:val="center"/>
          </w:tcPr>
          <w:p w14:paraId="572F7BBE">
            <w:pPr>
              <w:pStyle w:val="26"/>
              <w:spacing w:before="105" w:after="150" w:line="360" w:lineRule="auto"/>
              <w:jc w:val="left"/>
              <w:rPr>
                <w:rFonts w:hint="eastAsia" w:ascii="宋体" w:hAnsi="宋体" w:eastAsia="宋体" w:cs="宋体"/>
                <w:b w:val="0"/>
                <w:bCs/>
                <w:color w:val="auto"/>
                <w:sz w:val="24"/>
                <w:szCs w:val="24"/>
                <w:lang w:val="en-US" w:eastAsia="zh-CN"/>
              </w:rPr>
            </w:pPr>
          </w:p>
        </w:tc>
      </w:tr>
      <w:tr w14:paraId="06328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1074" w:type="dxa"/>
            <w:vMerge w:val="continue"/>
            <w:tcBorders>
              <w:left w:val="single" w:color="auto" w:sz="4" w:space="0"/>
              <w:right w:val="single" w:color="auto" w:sz="4" w:space="0"/>
            </w:tcBorders>
            <w:vAlign w:val="center"/>
          </w:tcPr>
          <w:p w14:paraId="4BC18556">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tcBorders>
              <w:top w:val="single" w:color="auto" w:sz="4" w:space="0"/>
              <w:left w:val="single" w:color="auto" w:sz="4" w:space="0"/>
              <w:bottom w:val="single" w:color="auto" w:sz="4" w:space="0"/>
              <w:right w:val="single" w:color="auto" w:sz="4" w:space="0"/>
            </w:tcBorders>
            <w:vAlign w:val="center"/>
          </w:tcPr>
          <w:p w14:paraId="07C9521E">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其它技术要求</w:t>
            </w:r>
          </w:p>
        </w:tc>
        <w:tc>
          <w:tcPr>
            <w:tcW w:w="6015" w:type="dxa"/>
            <w:tcBorders>
              <w:top w:val="single" w:color="auto" w:sz="4" w:space="0"/>
              <w:left w:val="single" w:color="auto" w:sz="4" w:space="0"/>
              <w:bottom w:val="single" w:color="auto" w:sz="4" w:space="0"/>
              <w:right w:val="single" w:color="auto" w:sz="4" w:space="0"/>
            </w:tcBorders>
            <w:vAlign w:val="center"/>
          </w:tcPr>
          <w:p w14:paraId="0044CB45">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整车说明书、保修手册、电器维修电路图及其他说明书根据选配情况提供。</w:t>
            </w:r>
          </w:p>
        </w:tc>
        <w:tc>
          <w:tcPr>
            <w:tcW w:w="1110" w:type="dxa"/>
            <w:vMerge w:val="continue"/>
            <w:tcBorders>
              <w:left w:val="single" w:color="auto" w:sz="4" w:space="0"/>
              <w:bottom w:val="single" w:color="auto" w:sz="4" w:space="0"/>
              <w:right w:val="single" w:color="auto" w:sz="4" w:space="0"/>
            </w:tcBorders>
            <w:vAlign w:val="center"/>
          </w:tcPr>
          <w:p w14:paraId="3ED6DC1C">
            <w:pPr>
              <w:pStyle w:val="26"/>
              <w:spacing w:before="105" w:after="150" w:line="360" w:lineRule="auto"/>
              <w:jc w:val="left"/>
              <w:rPr>
                <w:rFonts w:hint="eastAsia" w:ascii="宋体" w:hAnsi="宋体" w:eastAsia="宋体" w:cs="宋体"/>
                <w:b w:val="0"/>
                <w:bCs/>
                <w:color w:val="auto"/>
                <w:sz w:val="24"/>
                <w:szCs w:val="24"/>
                <w:lang w:val="en-US" w:eastAsia="zh-CN"/>
              </w:rPr>
            </w:pPr>
          </w:p>
        </w:tc>
      </w:tr>
      <w:tr w14:paraId="0D545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074" w:type="dxa"/>
            <w:vMerge w:val="restart"/>
            <w:tcBorders>
              <w:left w:val="single" w:color="auto" w:sz="4" w:space="0"/>
              <w:right w:val="single" w:color="auto" w:sz="4" w:space="0"/>
            </w:tcBorders>
            <w:vAlign w:val="center"/>
          </w:tcPr>
          <w:p w14:paraId="1032201D">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车辆安全</w:t>
            </w:r>
          </w:p>
        </w:tc>
        <w:tc>
          <w:tcPr>
            <w:tcW w:w="1601" w:type="dxa"/>
            <w:noWrap w:val="0"/>
            <w:vAlign w:val="center"/>
          </w:tcPr>
          <w:p w14:paraId="5C25F2B1">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▲防误踩油门功能</w:t>
            </w:r>
          </w:p>
        </w:tc>
        <w:tc>
          <w:tcPr>
            <w:tcW w:w="6015" w:type="dxa"/>
            <w:noWrap w:val="0"/>
            <w:vAlign w:val="top"/>
          </w:tcPr>
          <w:p w14:paraId="4C04C1CB">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具备油门防误踩功能，（</w:t>
            </w:r>
            <w:r>
              <w:rPr>
                <w:rFonts w:hint="eastAsia" w:ascii="宋体" w:hAnsi="宋体" w:eastAsia="宋体" w:cs="宋体"/>
                <w:b w:val="0"/>
                <w:bCs/>
                <w:color w:val="auto"/>
                <w:sz w:val="24"/>
                <w:szCs w:val="24"/>
                <w:lang w:val="en-US" w:eastAsia="zh-CN"/>
              </w:rPr>
              <w:t>投标人需</w:t>
            </w:r>
            <w:r>
              <w:rPr>
                <w:rFonts w:hint="eastAsia" w:ascii="宋体" w:hAnsi="宋体" w:eastAsia="宋体" w:cs="宋体"/>
                <w:b w:val="0"/>
                <w:bCs/>
                <w:color w:val="auto"/>
                <w:sz w:val="24"/>
                <w:szCs w:val="24"/>
                <w:lang w:eastAsia="zh-CN"/>
              </w:rPr>
              <w:t>提供</w:t>
            </w:r>
            <w:r>
              <w:rPr>
                <w:rFonts w:hint="eastAsia" w:ascii="宋体" w:hAnsi="宋体" w:eastAsia="宋体" w:cs="宋体"/>
                <w:b w:val="0"/>
                <w:bCs/>
                <w:color w:val="auto"/>
                <w:sz w:val="24"/>
                <w:szCs w:val="24"/>
                <w:lang w:val="en-US" w:eastAsia="zh-CN"/>
              </w:rPr>
              <w:t>国家认可第三方检测机构出具的检测报告复印件并加盖公章</w:t>
            </w:r>
            <w:r>
              <w:rPr>
                <w:rFonts w:hint="eastAsia" w:ascii="宋体" w:hAnsi="宋体" w:eastAsia="宋体" w:cs="宋体"/>
                <w:b w:val="0"/>
                <w:bCs/>
                <w:color w:val="auto"/>
                <w:sz w:val="24"/>
                <w:szCs w:val="24"/>
                <w:lang w:eastAsia="zh-CN"/>
              </w:rPr>
              <w:t>）</w:t>
            </w:r>
          </w:p>
        </w:tc>
        <w:tc>
          <w:tcPr>
            <w:tcW w:w="1110" w:type="dxa"/>
            <w:noWrap w:val="0"/>
            <w:vAlign w:val="top"/>
          </w:tcPr>
          <w:p w14:paraId="09BB2090">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项号49</w:t>
            </w:r>
          </w:p>
        </w:tc>
      </w:tr>
      <w:tr w14:paraId="24893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1074" w:type="dxa"/>
            <w:vMerge w:val="continue"/>
            <w:tcBorders>
              <w:left w:val="single" w:color="auto" w:sz="4" w:space="0"/>
              <w:right w:val="single" w:color="auto" w:sz="4" w:space="0"/>
            </w:tcBorders>
            <w:vAlign w:val="center"/>
          </w:tcPr>
          <w:p w14:paraId="6E4C54D7">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noWrap w:val="0"/>
            <w:vAlign w:val="center"/>
          </w:tcPr>
          <w:p w14:paraId="779D84D3">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司机离座安全辅助</w:t>
            </w:r>
          </w:p>
        </w:tc>
        <w:tc>
          <w:tcPr>
            <w:tcW w:w="6015" w:type="dxa"/>
            <w:noWrap w:val="0"/>
            <w:vAlign w:val="top"/>
          </w:tcPr>
          <w:p w14:paraId="44BDF20B">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司机离座安全辅助：在驾驶员离开座位3秒后启用司机离座安全辅助功能，实现离座回空档、离座不能挂档、离座取消蠕行功能</w:t>
            </w:r>
          </w:p>
        </w:tc>
        <w:tc>
          <w:tcPr>
            <w:tcW w:w="1110" w:type="dxa"/>
            <w:noWrap w:val="0"/>
            <w:vAlign w:val="top"/>
          </w:tcPr>
          <w:p w14:paraId="0D74BA8B">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项号50</w:t>
            </w:r>
          </w:p>
        </w:tc>
      </w:tr>
      <w:tr w14:paraId="5BECE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074" w:type="dxa"/>
            <w:vMerge w:val="continue"/>
            <w:tcBorders>
              <w:left w:val="single" w:color="auto" w:sz="4" w:space="0"/>
              <w:right w:val="single" w:color="auto" w:sz="4" w:space="0"/>
            </w:tcBorders>
            <w:vAlign w:val="center"/>
          </w:tcPr>
          <w:p w14:paraId="10AA224D">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noWrap w:val="0"/>
            <w:vAlign w:val="center"/>
          </w:tcPr>
          <w:p w14:paraId="50CD06BF">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ASR驱动轮防滑功能</w:t>
            </w:r>
          </w:p>
        </w:tc>
        <w:tc>
          <w:tcPr>
            <w:tcW w:w="6015" w:type="dxa"/>
            <w:noWrap w:val="0"/>
            <w:vAlign w:val="top"/>
          </w:tcPr>
          <w:p w14:paraId="7C19409D">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ASR驱动轮防滑功能</w:t>
            </w:r>
          </w:p>
        </w:tc>
        <w:tc>
          <w:tcPr>
            <w:tcW w:w="1110" w:type="dxa"/>
            <w:noWrap w:val="0"/>
            <w:vAlign w:val="top"/>
          </w:tcPr>
          <w:p w14:paraId="6679D1D0">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项号51</w:t>
            </w:r>
          </w:p>
        </w:tc>
      </w:tr>
      <w:tr w14:paraId="0C099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074" w:type="dxa"/>
            <w:vMerge w:val="continue"/>
            <w:tcBorders>
              <w:left w:val="single" w:color="auto" w:sz="4" w:space="0"/>
              <w:right w:val="single" w:color="auto" w:sz="4" w:space="0"/>
            </w:tcBorders>
            <w:vAlign w:val="center"/>
          </w:tcPr>
          <w:p w14:paraId="658E0172">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noWrap w:val="0"/>
            <w:vAlign w:val="center"/>
          </w:tcPr>
          <w:p w14:paraId="76F71128">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主动防溜坡功能</w:t>
            </w:r>
          </w:p>
        </w:tc>
        <w:tc>
          <w:tcPr>
            <w:tcW w:w="6015" w:type="dxa"/>
            <w:noWrap w:val="0"/>
            <w:vAlign w:val="top"/>
          </w:tcPr>
          <w:p w14:paraId="7BF3E288">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主动防溜坡功能</w:t>
            </w:r>
          </w:p>
        </w:tc>
        <w:tc>
          <w:tcPr>
            <w:tcW w:w="1110" w:type="dxa"/>
            <w:noWrap w:val="0"/>
            <w:vAlign w:val="top"/>
          </w:tcPr>
          <w:p w14:paraId="16F015AD">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项号52</w:t>
            </w:r>
          </w:p>
        </w:tc>
      </w:tr>
      <w:tr w14:paraId="24EC6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074" w:type="dxa"/>
            <w:vMerge w:val="continue"/>
            <w:tcBorders>
              <w:left w:val="single" w:color="auto" w:sz="4" w:space="0"/>
              <w:right w:val="single" w:color="auto" w:sz="4" w:space="0"/>
            </w:tcBorders>
            <w:noWrap w:val="0"/>
            <w:vAlign w:val="center"/>
          </w:tcPr>
          <w:p w14:paraId="25A888C8">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noWrap w:val="0"/>
            <w:vAlign w:val="center"/>
          </w:tcPr>
          <w:p w14:paraId="200DDE4A">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eastAsia="zh-CN"/>
              </w:rPr>
              <w:t>倒车辅助功能</w:t>
            </w:r>
          </w:p>
        </w:tc>
        <w:tc>
          <w:tcPr>
            <w:tcW w:w="6015" w:type="dxa"/>
            <w:noWrap w:val="0"/>
            <w:vAlign w:val="top"/>
          </w:tcPr>
          <w:p w14:paraId="219EDE6D">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包含3项功能，（1）倒车蠕行；（2）倒车坡道辅助：（3）倒车限速。</w:t>
            </w:r>
          </w:p>
        </w:tc>
        <w:tc>
          <w:tcPr>
            <w:tcW w:w="1110" w:type="dxa"/>
            <w:noWrap w:val="0"/>
            <w:vAlign w:val="top"/>
          </w:tcPr>
          <w:p w14:paraId="69CE2EAE">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项号53</w:t>
            </w:r>
          </w:p>
        </w:tc>
      </w:tr>
      <w:tr w14:paraId="46765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074" w:type="dxa"/>
            <w:vMerge w:val="continue"/>
            <w:tcBorders>
              <w:left w:val="single" w:color="auto" w:sz="4" w:space="0"/>
              <w:right w:val="single" w:color="auto" w:sz="4" w:space="0"/>
            </w:tcBorders>
            <w:noWrap w:val="0"/>
            <w:vAlign w:val="center"/>
          </w:tcPr>
          <w:p w14:paraId="3398B3A0">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noWrap w:val="0"/>
            <w:vAlign w:val="center"/>
          </w:tcPr>
          <w:p w14:paraId="055E31EC">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起步功能</w:t>
            </w:r>
          </w:p>
        </w:tc>
        <w:tc>
          <w:tcPr>
            <w:tcW w:w="6015" w:type="dxa"/>
            <w:noWrap w:val="0"/>
            <w:vAlign w:val="top"/>
          </w:tcPr>
          <w:p w14:paraId="60B4A9D6">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车辆应具备乘客门未关闭到位车辆不能起步功能</w:t>
            </w:r>
          </w:p>
        </w:tc>
        <w:tc>
          <w:tcPr>
            <w:tcW w:w="1110" w:type="dxa"/>
            <w:noWrap w:val="0"/>
            <w:vAlign w:val="top"/>
          </w:tcPr>
          <w:p w14:paraId="11360B1E">
            <w:pPr>
              <w:pStyle w:val="26"/>
              <w:spacing w:before="105" w:after="150" w:line="360" w:lineRule="auto"/>
              <w:jc w:val="left"/>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项号54</w:t>
            </w:r>
          </w:p>
        </w:tc>
      </w:tr>
      <w:tr w14:paraId="054DB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074" w:type="dxa"/>
            <w:vMerge w:val="continue"/>
            <w:tcBorders>
              <w:left w:val="single" w:color="auto" w:sz="4" w:space="0"/>
              <w:right w:val="single" w:color="auto" w:sz="4" w:space="0"/>
            </w:tcBorders>
            <w:noWrap w:val="0"/>
            <w:vAlign w:val="center"/>
          </w:tcPr>
          <w:p w14:paraId="6AC3A26F">
            <w:pPr>
              <w:pStyle w:val="26"/>
              <w:spacing w:before="105" w:after="150" w:line="360" w:lineRule="auto"/>
              <w:jc w:val="left"/>
              <w:rPr>
                <w:rFonts w:hint="eastAsia" w:ascii="宋体" w:hAnsi="宋体" w:eastAsia="宋体" w:cs="宋体"/>
                <w:b w:val="0"/>
                <w:bCs/>
                <w:color w:val="auto"/>
                <w:sz w:val="24"/>
                <w:szCs w:val="24"/>
                <w:lang w:eastAsia="zh-CN"/>
              </w:rPr>
            </w:pPr>
          </w:p>
        </w:tc>
        <w:tc>
          <w:tcPr>
            <w:tcW w:w="1601" w:type="dxa"/>
            <w:noWrap w:val="0"/>
            <w:vAlign w:val="center"/>
          </w:tcPr>
          <w:p w14:paraId="57514CD0">
            <w:pPr>
              <w:pStyle w:val="26"/>
              <w:spacing w:before="105" w:after="150" w:line="360" w:lineRule="auto"/>
              <w:jc w:val="left"/>
              <w:rPr>
                <w:rFonts w:hint="default" w:ascii="宋体" w:hAnsi="宋体" w:eastAsia="宋体" w:cs="宋体"/>
                <w:b w:val="0"/>
                <w:bCs/>
                <w:color w:val="auto"/>
                <w:sz w:val="24"/>
                <w:szCs w:val="24"/>
                <w:lang w:val="en-US" w:eastAsia="zh-CN"/>
              </w:rPr>
            </w:pPr>
            <w:r>
              <w:rPr>
                <w:rFonts w:hint="eastAsia" w:ascii="宋体" w:hAnsi="宋体" w:eastAsia="宋体" w:cs="宋体"/>
                <w:sz w:val="24"/>
                <w:szCs w:val="24"/>
                <w:lang w:val="en-US" w:eastAsia="zh-CN"/>
              </w:rPr>
              <w:t>主动安全</w:t>
            </w:r>
          </w:p>
        </w:tc>
        <w:tc>
          <w:tcPr>
            <w:tcW w:w="6015" w:type="dxa"/>
            <w:noWrap w:val="0"/>
            <w:vAlign w:val="top"/>
          </w:tcPr>
          <w:p w14:paraId="04AA7963">
            <w:pPr>
              <w:pStyle w:val="26"/>
              <w:spacing w:before="105" w:after="150" w:line="360" w:lineRule="auto"/>
              <w:jc w:val="left"/>
              <w:rPr>
                <w:rFonts w:hint="eastAsia" w:ascii="宋体" w:hAnsi="宋体" w:eastAsia="宋体" w:cs="宋体"/>
                <w:b w:val="0"/>
                <w:bCs/>
                <w:color w:val="auto"/>
                <w:sz w:val="24"/>
                <w:szCs w:val="24"/>
                <w:lang w:eastAsia="zh-CN"/>
              </w:rPr>
            </w:pPr>
            <w:r>
              <w:rPr>
                <w:rFonts w:hint="eastAsia" w:ascii="宋体" w:hAnsi="宋体" w:eastAsia="宋体" w:cs="宋体"/>
                <w:sz w:val="24"/>
                <w:szCs w:val="24"/>
                <w:lang w:val="en-US" w:eastAsia="zh-CN"/>
              </w:rPr>
              <w:t>车道偏离预警系统LDW+AEBS紧急制动系统，胎压监测与爆胎应急装置集成</w:t>
            </w:r>
          </w:p>
        </w:tc>
        <w:tc>
          <w:tcPr>
            <w:tcW w:w="1110" w:type="dxa"/>
            <w:noWrap w:val="0"/>
            <w:vAlign w:val="top"/>
          </w:tcPr>
          <w:p w14:paraId="0F1F6C91">
            <w:pPr>
              <w:pStyle w:val="26"/>
              <w:spacing w:before="105" w:after="150" w:line="360" w:lineRule="auto"/>
              <w:jc w:val="left"/>
              <w:rPr>
                <w:rFonts w:hint="default"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项号55</w:t>
            </w:r>
          </w:p>
        </w:tc>
      </w:tr>
    </w:tbl>
    <w:p w14:paraId="3271245D">
      <w:pPr>
        <w:pStyle w:val="26"/>
        <w:spacing w:before="105" w:after="150"/>
        <w:jc w:val="left"/>
        <w:rPr>
          <w:rFonts w:hint="eastAsia" w:ascii="宋体" w:hAnsi="宋体" w:eastAsia="宋体" w:cs="宋体"/>
          <w:b w:val="0"/>
          <w:bCs/>
          <w:color w:val="auto"/>
          <w:sz w:val="24"/>
          <w:lang w:eastAsia="zh-CN"/>
        </w:rPr>
      </w:pPr>
    </w:p>
    <w:p w14:paraId="0A3875C3">
      <w:pPr>
        <w:pStyle w:val="26"/>
        <w:spacing w:before="105" w:after="150"/>
        <w:jc w:val="left"/>
        <w:rPr>
          <w:rFonts w:hint="eastAsia" w:ascii="宋体" w:hAnsi="宋体" w:eastAsia="宋体" w:cs="宋体"/>
          <w:b/>
          <w:bCs w:val="0"/>
          <w:color w:val="auto"/>
          <w:sz w:val="24"/>
          <w:lang w:eastAsia="zh-CN"/>
        </w:rPr>
      </w:pPr>
      <w:r>
        <w:rPr>
          <w:rFonts w:hint="eastAsia" w:ascii="宋体" w:hAnsi="宋体" w:eastAsia="宋体" w:cs="宋体"/>
          <w:b/>
          <w:bCs w:val="0"/>
          <w:color w:val="auto"/>
          <w:sz w:val="24"/>
          <w:lang w:eastAsia="zh-CN"/>
        </w:rPr>
        <w:t>注：以上参数要求涉及固定尺寸、重量、体积的内容允许±2%偏差（若参数要求中已注明偏差范围的以参数要求为准）</w:t>
      </w:r>
    </w:p>
    <w:p w14:paraId="6C03A046">
      <w:pPr>
        <w:pStyle w:val="26"/>
        <w:spacing w:before="105" w:after="150"/>
        <w:jc w:val="left"/>
        <w:rPr>
          <w:rFonts w:hint="eastAsia" w:ascii="宋体" w:hAnsi="宋体" w:eastAsia="宋体" w:cs="宋体"/>
          <w:b w:val="0"/>
          <w:bCs/>
          <w:color w:val="auto"/>
          <w:sz w:val="24"/>
          <w:lang w:val="en-US" w:eastAsia="zh-CN"/>
        </w:rPr>
      </w:pPr>
      <w:r>
        <w:rPr>
          <w:rFonts w:hint="eastAsia" w:ascii="宋体" w:hAnsi="宋体" w:eastAsia="宋体" w:cs="宋体"/>
          <w:b w:val="0"/>
          <w:bCs/>
          <w:color w:val="auto"/>
          <w:sz w:val="24"/>
          <w:lang w:eastAsia="zh-CN"/>
        </w:rPr>
        <w:t>★</w:t>
      </w:r>
      <w:r>
        <w:rPr>
          <w:rFonts w:hint="eastAsia" w:ascii="宋体" w:hAnsi="宋体" w:eastAsia="宋体" w:cs="宋体"/>
          <w:b/>
          <w:bCs w:val="0"/>
          <w:color w:val="auto"/>
          <w:sz w:val="24"/>
          <w:lang w:eastAsia="zh-CN"/>
        </w:rPr>
        <w:t>（</w:t>
      </w:r>
      <w:r>
        <w:rPr>
          <w:rFonts w:hint="eastAsia" w:ascii="宋体" w:hAnsi="宋体" w:eastAsia="宋体" w:cs="宋体"/>
          <w:b/>
          <w:bCs w:val="0"/>
          <w:color w:val="auto"/>
          <w:sz w:val="24"/>
          <w:lang w:val="en-US" w:eastAsia="zh-CN"/>
        </w:rPr>
        <w:t>项号56</w:t>
      </w:r>
      <w:r>
        <w:rPr>
          <w:rFonts w:hint="eastAsia" w:ascii="宋体" w:hAnsi="宋体" w:eastAsia="宋体" w:cs="宋体"/>
          <w:b/>
          <w:bCs w:val="0"/>
          <w:color w:val="auto"/>
          <w:sz w:val="24"/>
          <w:lang w:eastAsia="zh-CN"/>
        </w:rPr>
        <w:t>）</w:t>
      </w:r>
      <w:r>
        <w:rPr>
          <w:rFonts w:hint="eastAsia" w:ascii="宋体" w:hAnsi="宋体" w:eastAsia="宋体" w:cs="宋体"/>
          <w:b w:val="0"/>
          <w:bCs/>
          <w:color w:val="auto"/>
          <w:sz w:val="24"/>
          <w:lang w:val="en-US" w:eastAsia="zh-CN"/>
        </w:rPr>
        <w:t>2.2.</w:t>
      </w:r>
      <w:r>
        <w:rPr>
          <w:rFonts w:hint="eastAsia" w:ascii="宋体" w:hAnsi="宋体" w:eastAsia="宋体" w:cs="宋体"/>
          <w:b w:val="0"/>
          <w:bCs/>
          <w:color w:val="auto"/>
          <w:sz w:val="24"/>
          <w:lang w:eastAsia="zh-CN"/>
        </w:rPr>
        <w:t>中标</w:t>
      </w:r>
      <w:r>
        <w:rPr>
          <w:rFonts w:hint="eastAsia" w:ascii="宋体" w:hAnsi="宋体" w:eastAsia="宋体" w:cs="宋体"/>
          <w:b w:val="0"/>
          <w:bCs/>
          <w:color w:val="auto"/>
          <w:sz w:val="24"/>
          <w:lang w:val="en-US" w:eastAsia="zh-CN"/>
        </w:rPr>
        <w:t>方需负责采购单位原有12辆采购人指定的</w:t>
      </w:r>
      <w:r>
        <w:rPr>
          <w:rFonts w:hint="eastAsia" w:ascii="宋体" w:hAnsi="宋体" w:eastAsia="宋体" w:cs="宋体"/>
          <w:b w:val="0"/>
          <w:bCs/>
          <w:color w:val="auto"/>
          <w:sz w:val="24"/>
          <w:lang w:eastAsia="zh-CN"/>
        </w:rPr>
        <w:t>纯电动公交车</w:t>
      </w:r>
      <w:r>
        <w:rPr>
          <w:rFonts w:hint="eastAsia" w:ascii="宋体" w:hAnsi="宋体" w:eastAsia="宋体" w:cs="宋体"/>
          <w:b w:val="0"/>
          <w:bCs/>
          <w:color w:val="auto"/>
          <w:sz w:val="24"/>
          <w:lang w:val="en-US" w:eastAsia="zh-CN"/>
        </w:rPr>
        <w:t>动力电池更换业务，所产生费用中标人承担。</w:t>
      </w:r>
    </w:p>
    <w:p w14:paraId="41E8F537">
      <w:pPr>
        <w:pStyle w:val="26"/>
        <w:spacing w:before="105" w:after="150"/>
        <w:jc w:val="left"/>
        <w:rPr>
          <w:rFonts w:hint="eastAsia" w:ascii="宋体" w:hAnsi="宋体" w:eastAsia="宋体" w:cs="宋体"/>
          <w:b w:val="0"/>
          <w:bCs/>
          <w:color w:val="auto"/>
          <w:sz w:val="24"/>
          <w:lang w:val="en-US" w:eastAsia="zh-CN"/>
        </w:rPr>
      </w:pPr>
      <w:r>
        <w:rPr>
          <w:rFonts w:hint="eastAsia" w:ascii="宋体" w:hAnsi="宋体" w:eastAsia="宋体" w:cs="宋体"/>
          <w:b w:val="0"/>
          <w:bCs/>
          <w:color w:val="auto"/>
          <w:sz w:val="24"/>
          <w:lang w:val="en-US" w:eastAsia="zh-CN"/>
        </w:rPr>
        <w:t>具体情况如下：</w:t>
      </w:r>
    </w:p>
    <w:p w14:paraId="23978DA1">
      <w:pPr>
        <w:pStyle w:val="26"/>
        <w:spacing w:before="105" w:after="150"/>
        <w:jc w:val="left"/>
        <w:rPr>
          <w:rFonts w:hint="eastAsia" w:ascii="宋体" w:hAnsi="宋体" w:eastAsia="宋体" w:cs="宋体"/>
          <w:b w:val="0"/>
          <w:bCs/>
          <w:color w:val="auto"/>
          <w:sz w:val="24"/>
          <w:lang w:eastAsia="zh-CN"/>
        </w:rPr>
      </w:pPr>
      <w:r>
        <w:rPr>
          <w:rFonts w:hint="eastAsia" w:ascii="宋体" w:hAnsi="宋体" w:eastAsia="宋体" w:cs="宋体"/>
          <w:b w:val="0"/>
          <w:bCs/>
          <w:color w:val="auto"/>
          <w:sz w:val="24"/>
          <w:lang w:val="en-US" w:eastAsia="zh-CN"/>
        </w:rPr>
        <w:t>2.2.1.</w:t>
      </w:r>
      <w:r>
        <w:rPr>
          <w:rFonts w:hint="eastAsia" w:ascii="宋体" w:hAnsi="宋体" w:eastAsia="宋体" w:cs="宋体"/>
          <w:b w:val="0"/>
          <w:bCs/>
          <w:color w:val="auto"/>
          <w:sz w:val="24"/>
          <w:lang w:eastAsia="zh-CN"/>
        </w:rPr>
        <w:t>根据客户充电运营需求，推荐更换</w:t>
      </w:r>
      <w:r>
        <w:rPr>
          <w:rFonts w:hint="eastAsia" w:ascii="宋体" w:hAnsi="宋体" w:eastAsia="宋体" w:cs="宋体"/>
          <w:b w:val="0"/>
          <w:bCs/>
          <w:color w:val="auto"/>
          <w:sz w:val="24"/>
          <w:lang w:val="en-US" w:eastAsia="zh-CN"/>
        </w:rPr>
        <w:t>国内</w:t>
      </w:r>
      <w:r>
        <w:rPr>
          <w:rFonts w:hint="eastAsia" w:ascii="宋体" w:hAnsi="宋体" w:eastAsia="宋体" w:cs="宋体"/>
          <w:b w:val="0"/>
          <w:bCs/>
          <w:color w:val="auto"/>
          <w:sz w:val="24"/>
          <w:lang w:eastAsia="zh-CN"/>
        </w:rPr>
        <w:t>电源系统。</w:t>
      </w:r>
    </w:p>
    <w:p w14:paraId="45E61C56">
      <w:pPr>
        <w:pStyle w:val="26"/>
        <w:spacing w:before="105" w:after="150"/>
        <w:jc w:val="left"/>
        <w:rPr>
          <w:rFonts w:hint="eastAsia" w:ascii="宋体" w:hAnsi="宋体" w:eastAsia="宋体" w:cs="宋体"/>
          <w:b w:val="0"/>
          <w:bCs/>
          <w:color w:val="auto"/>
          <w:sz w:val="24"/>
          <w:lang w:eastAsia="zh-CN"/>
        </w:rPr>
      </w:pPr>
      <w:r>
        <w:rPr>
          <w:rFonts w:hint="eastAsia" w:ascii="宋体" w:hAnsi="宋体" w:eastAsia="宋体" w:cs="宋体"/>
          <w:b w:val="0"/>
          <w:bCs/>
          <w:color w:val="auto"/>
          <w:sz w:val="24"/>
          <w:lang w:val="en-US" w:eastAsia="zh-CN"/>
        </w:rPr>
        <w:t>2.2.2.</w:t>
      </w:r>
      <w:r>
        <w:rPr>
          <w:rFonts w:hint="eastAsia" w:ascii="宋体" w:hAnsi="宋体" w:eastAsia="宋体" w:cs="宋体"/>
          <w:b w:val="0"/>
          <w:bCs/>
          <w:color w:val="auto"/>
          <w:sz w:val="24"/>
          <w:lang w:eastAsia="zh-CN"/>
        </w:rPr>
        <w:t>新电源系统质保</w:t>
      </w:r>
      <w:r>
        <w:rPr>
          <w:rFonts w:hint="eastAsia" w:ascii="宋体" w:hAnsi="宋体" w:eastAsia="宋体" w:cs="宋体"/>
          <w:b w:val="0"/>
          <w:bCs/>
          <w:color w:val="auto"/>
          <w:sz w:val="24"/>
          <w:lang w:val="en-US" w:eastAsia="zh-CN"/>
        </w:rPr>
        <w:t>5</w:t>
      </w:r>
      <w:r>
        <w:rPr>
          <w:rFonts w:hint="eastAsia" w:ascii="宋体" w:hAnsi="宋体" w:eastAsia="宋体" w:cs="宋体"/>
          <w:b w:val="0"/>
          <w:bCs/>
          <w:color w:val="auto"/>
          <w:sz w:val="24"/>
          <w:lang w:eastAsia="zh-CN"/>
        </w:rPr>
        <w:t>年/30万公里，以先到为准。</w:t>
      </w:r>
    </w:p>
    <w:p w14:paraId="76CB299D">
      <w:pPr>
        <w:pStyle w:val="26"/>
        <w:spacing w:before="105" w:after="150"/>
        <w:jc w:val="left"/>
        <w:rPr>
          <w:rFonts w:hint="eastAsia" w:ascii="宋体" w:hAnsi="宋体" w:eastAsia="宋体" w:cs="宋体"/>
          <w:b w:val="0"/>
          <w:bCs/>
          <w:color w:val="auto"/>
          <w:sz w:val="24"/>
          <w:lang w:val="en-US" w:eastAsia="zh-CN"/>
        </w:rPr>
      </w:pPr>
      <w:r>
        <w:rPr>
          <w:rFonts w:hint="eastAsia" w:ascii="宋体" w:hAnsi="宋体" w:eastAsia="宋体" w:cs="宋体"/>
          <w:b w:val="0"/>
          <w:bCs/>
          <w:color w:val="auto"/>
          <w:sz w:val="24"/>
          <w:lang w:val="en-US" w:eastAsia="zh-CN"/>
        </w:rPr>
        <w:t>2.2.3.</w:t>
      </w:r>
      <w:r>
        <w:rPr>
          <w:rFonts w:hint="eastAsia" w:ascii="宋体" w:hAnsi="宋体" w:eastAsia="宋体" w:cs="宋体"/>
          <w:b w:val="0"/>
          <w:bCs/>
          <w:color w:val="auto"/>
          <w:sz w:val="24"/>
          <w:lang w:eastAsia="zh-CN"/>
        </w:rPr>
        <w:t>更换电池实施项目明细</w:t>
      </w:r>
    </w:p>
    <w:tbl>
      <w:tblPr>
        <w:tblStyle w:val="18"/>
        <w:tblW w:w="8324" w:type="dxa"/>
        <w:tblInd w:w="37" w:type="dxa"/>
        <w:tblLayout w:type="autofit"/>
        <w:tblCellMar>
          <w:top w:w="0" w:type="dxa"/>
          <w:left w:w="108" w:type="dxa"/>
          <w:bottom w:w="0" w:type="dxa"/>
          <w:right w:w="108" w:type="dxa"/>
        </w:tblCellMar>
      </w:tblPr>
      <w:tblGrid>
        <w:gridCol w:w="1149"/>
        <w:gridCol w:w="1527"/>
        <w:gridCol w:w="1118"/>
        <w:gridCol w:w="4530"/>
      </w:tblGrid>
      <w:tr w14:paraId="56CEBC6A">
        <w:tblPrEx>
          <w:tblCellMar>
            <w:top w:w="0" w:type="dxa"/>
            <w:left w:w="108" w:type="dxa"/>
            <w:bottom w:w="0" w:type="dxa"/>
            <w:right w:w="108" w:type="dxa"/>
          </w:tblCellMar>
        </w:tblPrEx>
        <w:trPr>
          <w:trHeight w:val="578" w:hRule="atLeast"/>
        </w:trPr>
        <w:tc>
          <w:tcPr>
            <w:tcW w:w="1149" w:type="dxa"/>
            <w:tcBorders>
              <w:top w:val="single" w:color="auto" w:sz="4" w:space="0"/>
              <w:left w:val="single" w:color="auto" w:sz="4" w:space="0"/>
              <w:bottom w:val="single" w:color="auto" w:sz="4" w:space="0"/>
              <w:right w:val="single" w:color="auto" w:sz="4" w:space="0"/>
            </w:tcBorders>
            <w:shd w:val="clear" w:color="auto" w:fill="auto"/>
            <w:vAlign w:val="center"/>
          </w:tcPr>
          <w:p w14:paraId="401AB638">
            <w:pPr>
              <w:pStyle w:val="26"/>
              <w:spacing w:before="105" w:after="150"/>
              <w:jc w:val="left"/>
              <w:rPr>
                <w:rFonts w:hint="eastAsia" w:ascii="宋体" w:hAnsi="宋体" w:eastAsia="宋体" w:cs="宋体"/>
                <w:b w:val="0"/>
                <w:bCs/>
                <w:color w:val="auto"/>
                <w:sz w:val="24"/>
                <w:lang w:eastAsia="zh-CN"/>
              </w:rPr>
            </w:pPr>
            <w:r>
              <w:rPr>
                <w:rFonts w:hint="eastAsia" w:ascii="宋体" w:hAnsi="宋体" w:eastAsia="宋体" w:cs="宋体"/>
                <w:b w:val="0"/>
                <w:bCs/>
                <w:color w:val="auto"/>
                <w:sz w:val="24"/>
                <w:lang w:eastAsia="zh-CN"/>
              </w:rPr>
              <w:t>更换明细</w:t>
            </w:r>
          </w:p>
        </w:tc>
        <w:tc>
          <w:tcPr>
            <w:tcW w:w="1527" w:type="dxa"/>
            <w:tcBorders>
              <w:top w:val="single" w:color="auto" w:sz="4" w:space="0"/>
              <w:left w:val="nil"/>
              <w:bottom w:val="single" w:color="auto" w:sz="4" w:space="0"/>
              <w:right w:val="single" w:color="auto" w:sz="4" w:space="0"/>
            </w:tcBorders>
            <w:shd w:val="clear" w:color="auto" w:fill="auto"/>
            <w:vAlign w:val="center"/>
          </w:tcPr>
          <w:p w14:paraId="61040796">
            <w:pPr>
              <w:pStyle w:val="26"/>
              <w:spacing w:before="105" w:after="150"/>
              <w:jc w:val="left"/>
              <w:rPr>
                <w:rFonts w:hint="eastAsia" w:ascii="宋体" w:hAnsi="宋体" w:eastAsia="宋体" w:cs="宋体"/>
                <w:b w:val="0"/>
                <w:bCs/>
                <w:color w:val="auto"/>
                <w:sz w:val="24"/>
                <w:lang w:eastAsia="zh-CN"/>
              </w:rPr>
            </w:pPr>
            <w:r>
              <w:rPr>
                <w:rFonts w:hint="eastAsia" w:ascii="宋体" w:hAnsi="宋体" w:eastAsia="宋体" w:cs="宋体"/>
                <w:b w:val="0"/>
                <w:bCs/>
                <w:color w:val="auto"/>
                <w:sz w:val="24"/>
                <w:lang w:eastAsia="zh-CN"/>
              </w:rPr>
              <w:t>名称</w:t>
            </w:r>
          </w:p>
        </w:tc>
        <w:tc>
          <w:tcPr>
            <w:tcW w:w="1118" w:type="dxa"/>
            <w:tcBorders>
              <w:top w:val="single" w:color="auto" w:sz="4" w:space="0"/>
              <w:left w:val="nil"/>
              <w:bottom w:val="single" w:color="auto" w:sz="4" w:space="0"/>
              <w:right w:val="single" w:color="auto" w:sz="4" w:space="0"/>
            </w:tcBorders>
            <w:shd w:val="clear" w:color="auto" w:fill="auto"/>
            <w:vAlign w:val="center"/>
          </w:tcPr>
          <w:p w14:paraId="73FB3F6C">
            <w:pPr>
              <w:pStyle w:val="26"/>
              <w:spacing w:before="105" w:after="150"/>
              <w:jc w:val="left"/>
              <w:rPr>
                <w:rFonts w:hint="eastAsia" w:ascii="宋体" w:hAnsi="宋体" w:eastAsia="宋体" w:cs="宋体"/>
                <w:b w:val="0"/>
                <w:bCs/>
                <w:color w:val="auto"/>
                <w:sz w:val="24"/>
                <w:lang w:eastAsia="zh-CN"/>
              </w:rPr>
            </w:pPr>
            <w:r>
              <w:rPr>
                <w:rFonts w:hint="eastAsia" w:ascii="宋体" w:hAnsi="宋体" w:eastAsia="宋体" w:cs="宋体"/>
                <w:b w:val="0"/>
                <w:bCs/>
                <w:color w:val="auto"/>
                <w:sz w:val="24"/>
                <w:lang w:eastAsia="zh-CN"/>
              </w:rPr>
              <w:t>数量</w:t>
            </w:r>
          </w:p>
        </w:tc>
        <w:tc>
          <w:tcPr>
            <w:tcW w:w="4530" w:type="dxa"/>
            <w:tcBorders>
              <w:top w:val="single" w:color="auto" w:sz="4" w:space="0"/>
              <w:left w:val="nil"/>
              <w:bottom w:val="single" w:color="auto" w:sz="4" w:space="0"/>
              <w:right w:val="single" w:color="auto" w:sz="4" w:space="0"/>
            </w:tcBorders>
            <w:shd w:val="clear" w:color="auto" w:fill="auto"/>
            <w:vAlign w:val="center"/>
          </w:tcPr>
          <w:p w14:paraId="6AFE2F44">
            <w:pPr>
              <w:pStyle w:val="26"/>
              <w:spacing w:before="105" w:after="150"/>
              <w:jc w:val="left"/>
              <w:rPr>
                <w:rFonts w:hint="eastAsia" w:ascii="宋体" w:hAnsi="宋体" w:eastAsia="宋体" w:cs="宋体"/>
                <w:b w:val="0"/>
                <w:bCs/>
                <w:color w:val="auto"/>
                <w:sz w:val="24"/>
                <w:lang w:eastAsia="zh-CN"/>
              </w:rPr>
            </w:pPr>
            <w:r>
              <w:rPr>
                <w:rFonts w:hint="eastAsia" w:ascii="宋体" w:hAnsi="宋体" w:eastAsia="宋体" w:cs="宋体"/>
                <w:b w:val="0"/>
                <w:bCs/>
                <w:color w:val="auto"/>
                <w:sz w:val="24"/>
                <w:lang w:eastAsia="zh-CN"/>
              </w:rPr>
              <w:t>电池方案</w:t>
            </w:r>
          </w:p>
        </w:tc>
      </w:tr>
      <w:tr w14:paraId="24CF24ED">
        <w:tblPrEx>
          <w:tblCellMar>
            <w:top w:w="0" w:type="dxa"/>
            <w:left w:w="108" w:type="dxa"/>
            <w:bottom w:w="0" w:type="dxa"/>
            <w:right w:w="108" w:type="dxa"/>
          </w:tblCellMar>
        </w:tblPrEx>
        <w:trPr>
          <w:trHeight w:val="572" w:hRule="atLeast"/>
        </w:trPr>
        <w:tc>
          <w:tcPr>
            <w:tcW w:w="1149" w:type="dxa"/>
            <w:vMerge w:val="restart"/>
            <w:tcBorders>
              <w:top w:val="nil"/>
              <w:left w:val="single" w:color="auto" w:sz="4" w:space="0"/>
              <w:bottom w:val="single" w:color="000000" w:sz="4" w:space="0"/>
              <w:right w:val="single" w:color="auto" w:sz="4" w:space="0"/>
            </w:tcBorders>
            <w:shd w:val="clear" w:color="auto" w:fill="auto"/>
            <w:vAlign w:val="center"/>
          </w:tcPr>
          <w:p w14:paraId="5AF1705C">
            <w:pPr>
              <w:pStyle w:val="26"/>
              <w:spacing w:before="105" w:after="150"/>
              <w:jc w:val="left"/>
              <w:rPr>
                <w:rFonts w:hint="eastAsia" w:ascii="宋体" w:hAnsi="宋体" w:eastAsia="宋体" w:cs="宋体"/>
                <w:b w:val="0"/>
                <w:bCs/>
                <w:color w:val="auto"/>
                <w:sz w:val="24"/>
                <w:lang w:eastAsia="zh-CN"/>
              </w:rPr>
            </w:pPr>
            <w:r>
              <w:rPr>
                <w:rFonts w:hint="eastAsia" w:ascii="宋体" w:hAnsi="宋体" w:eastAsia="宋体" w:cs="宋体"/>
                <w:b w:val="0"/>
                <w:bCs/>
                <w:color w:val="auto"/>
                <w:sz w:val="24"/>
                <w:lang w:eastAsia="zh-CN"/>
              </w:rPr>
              <w:t>更换明细</w:t>
            </w:r>
          </w:p>
        </w:tc>
        <w:tc>
          <w:tcPr>
            <w:tcW w:w="1527" w:type="dxa"/>
            <w:tcBorders>
              <w:top w:val="nil"/>
              <w:left w:val="nil"/>
              <w:bottom w:val="single" w:color="auto" w:sz="4" w:space="0"/>
              <w:right w:val="single" w:color="auto" w:sz="4" w:space="0"/>
            </w:tcBorders>
            <w:shd w:val="clear" w:color="auto" w:fill="auto"/>
            <w:vAlign w:val="center"/>
          </w:tcPr>
          <w:p w14:paraId="4E9DC010">
            <w:pPr>
              <w:pStyle w:val="26"/>
              <w:spacing w:before="105" w:after="150"/>
              <w:jc w:val="left"/>
              <w:rPr>
                <w:rFonts w:hint="eastAsia" w:ascii="宋体" w:hAnsi="宋体" w:eastAsia="宋体" w:cs="宋体"/>
                <w:b w:val="0"/>
                <w:bCs/>
                <w:color w:val="auto"/>
                <w:sz w:val="24"/>
                <w:lang w:eastAsia="zh-CN"/>
              </w:rPr>
            </w:pPr>
            <w:r>
              <w:rPr>
                <w:rFonts w:hint="eastAsia" w:ascii="宋体" w:hAnsi="宋体" w:eastAsia="宋体" w:cs="宋体"/>
                <w:b w:val="0"/>
                <w:bCs/>
                <w:color w:val="auto"/>
                <w:sz w:val="24"/>
                <w:lang w:eastAsia="zh-CN"/>
              </w:rPr>
              <w:t>动力电池</w:t>
            </w:r>
          </w:p>
        </w:tc>
        <w:tc>
          <w:tcPr>
            <w:tcW w:w="1118" w:type="dxa"/>
            <w:tcBorders>
              <w:top w:val="nil"/>
              <w:left w:val="nil"/>
              <w:bottom w:val="single" w:color="auto" w:sz="4" w:space="0"/>
              <w:right w:val="single" w:color="auto" w:sz="4" w:space="0"/>
            </w:tcBorders>
            <w:shd w:val="clear" w:color="auto" w:fill="auto"/>
            <w:vAlign w:val="center"/>
          </w:tcPr>
          <w:p w14:paraId="5C4B569F">
            <w:pPr>
              <w:pStyle w:val="26"/>
              <w:spacing w:before="105" w:after="150"/>
              <w:jc w:val="left"/>
              <w:rPr>
                <w:rFonts w:hint="eastAsia" w:ascii="宋体" w:hAnsi="宋体" w:eastAsia="宋体" w:cs="宋体"/>
                <w:b w:val="0"/>
                <w:bCs/>
                <w:color w:val="auto"/>
                <w:sz w:val="24"/>
                <w:lang w:eastAsia="zh-CN"/>
              </w:rPr>
            </w:pPr>
            <w:r>
              <w:rPr>
                <w:rFonts w:hint="eastAsia" w:ascii="宋体" w:hAnsi="宋体" w:eastAsia="宋体" w:cs="宋体"/>
                <w:b w:val="0"/>
                <w:bCs/>
                <w:color w:val="auto"/>
                <w:sz w:val="24"/>
                <w:lang w:eastAsia="zh-CN"/>
              </w:rPr>
              <w:t>1套</w:t>
            </w:r>
          </w:p>
        </w:tc>
        <w:tc>
          <w:tcPr>
            <w:tcW w:w="4530" w:type="dxa"/>
            <w:tcBorders>
              <w:top w:val="nil"/>
              <w:left w:val="nil"/>
              <w:bottom w:val="single" w:color="auto" w:sz="4" w:space="0"/>
              <w:right w:val="single" w:color="auto" w:sz="4" w:space="0"/>
            </w:tcBorders>
            <w:shd w:val="clear" w:color="auto" w:fill="auto"/>
            <w:vAlign w:val="center"/>
          </w:tcPr>
          <w:p w14:paraId="5F8ED5CA">
            <w:pPr>
              <w:pStyle w:val="26"/>
              <w:spacing w:before="105" w:after="150"/>
              <w:jc w:val="left"/>
              <w:rPr>
                <w:rFonts w:hint="eastAsia" w:ascii="宋体" w:hAnsi="宋体" w:eastAsia="宋体" w:cs="宋体"/>
                <w:b w:val="0"/>
                <w:bCs/>
                <w:color w:val="auto"/>
                <w:sz w:val="24"/>
                <w:lang w:eastAsia="zh-CN"/>
              </w:rPr>
            </w:pPr>
            <w:r>
              <w:rPr>
                <w:rFonts w:hint="eastAsia" w:ascii="宋体" w:hAnsi="宋体" w:eastAsia="宋体" w:cs="宋体"/>
                <w:b w:val="0"/>
                <w:bCs/>
                <w:color w:val="auto"/>
                <w:sz w:val="24"/>
                <w:lang w:val="en-US" w:eastAsia="zh-CN"/>
              </w:rPr>
              <w:t>最新</w:t>
            </w:r>
            <w:r>
              <w:rPr>
                <w:rFonts w:hint="eastAsia" w:ascii="宋体" w:hAnsi="宋体" w:eastAsia="宋体" w:cs="宋体"/>
                <w:b w:val="0"/>
                <w:bCs/>
                <w:color w:val="auto"/>
                <w:sz w:val="24"/>
                <w:lang w:eastAsia="zh-CN"/>
              </w:rPr>
              <w:t>的</w:t>
            </w:r>
            <w:r>
              <w:rPr>
                <w:rFonts w:hint="eastAsia" w:ascii="宋体" w:hAnsi="宋体" w:eastAsia="宋体" w:cs="宋体"/>
                <w:b w:val="0"/>
                <w:bCs/>
                <w:color w:val="auto"/>
                <w:sz w:val="24"/>
                <w:lang w:val="en-US" w:eastAsia="zh-CN"/>
              </w:rPr>
              <w:t>≥169.16</w:t>
            </w:r>
            <w:r>
              <w:rPr>
                <w:rFonts w:hint="eastAsia" w:ascii="宋体" w:hAnsi="宋体" w:eastAsia="宋体" w:cs="宋体"/>
                <w:b w:val="0"/>
                <w:bCs/>
                <w:color w:val="auto"/>
                <w:sz w:val="24"/>
                <w:lang w:eastAsia="zh-CN"/>
              </w:rPr>
              <w:t>kWh电源(含电池箱、高压盒及BMS）</w:t>
            </w:r>
          </w:p>
        </w:tc>
      </w:tr>
      <w:tr w14:paraId="772F39EB">
        <w:tblPrEx>
          <w:tblCellMar>
            <w:top w:w="0" w:type="dxa"/>
            <w:left w:w="108" w:type="dxa"/>
            <w:bottom w:w="0" w:type="dxa"/>
            <w:right w:w="108" w:type="dxa"/>
          </w:tblCellMar>
        </w:tblPrEx>
        <w:trPr>
          <w:trHeight w:val="90" w:hRule="atLeast"/>
        </w:trPr>
        <w:tc>
          <w:tcPr>
            <w:tcW w:w="1149" w:type="dxa"/>
            <w:vMerge w:val="continue"/>
            <w:tcBorders>
              <w:top w:val="nil"/>
              <w:left w:val="single" w:color="auto" w:sz="4" w:space="0"/>
              <w:bottom w:val="single" w:color="000000" w:sz="4" w:space="0"/>
              <w:right w:val="single" w:color="auto" w:sz="4" w:space="0"/>
            </w:tcBorders>
            <w:vAlign w:val="center"/>
          </w:tcPr>
          <w:p w14:paraId="66F59202">
            <w:pPr>
              <w:pStyle w:val="26"/>
              <w:spacing w:before="105" w:after="150"/>
              <w:jc w:val="left"/>
              <w:rPr>
                <w:rFonts w:hint="eastAsia" w:ascii="宋体" w:hAnsi="宋体" w:eastAsia="宋体" w:cs="宋体"/>
                <w:b w:val="0"/>
                <w:bCs/>
                <w:color w:val="auto"/>
                <w:sz w:val="24"/>
                <w:lang w:eastAsia="zh-CN"/>
              </w:rPr>
            </w:pPr>
          </w:p>
        </w:tc>
        <w:tc>
          <w:tcPr>
            <w:tcW w:w="1527" w:type="dxa"/>
            <w:tcBorders>
              <w:top w:val="nil"/>
              <w:left w:val="nil"/>
              <w:bottom w:val="single" w:color="auto" w:sz="4" w:space="0"/>
              <w:right w:val="single" w:color="auto" w:sz="4" w:space="0"/>
            </w:tcBorders>
            <w:shd w:val="clear" w:color="auto" w:fill="auto"/>
            <w:vAlign w:val="center"/>
          </w:tcPr>
          <w:p w14:paraId="09C2121B">
            <w:pPr>
              <w:pStyle w:val="26"/>
              <w:spacing w:before="105" w:after="150"/>
              <w:jc w:val="left"/>
              <w:rPr>
                <w:rFonts w:hint="eastAsia" w:ascii="宋体" w:hAnsi="宋体" w:eastAsia="宋体" w:cs="宋体"/>
                <w:b w:val="0"/>
                <w:bCs/>
                <w:color w:val="auto"/>
                <w:sz w:val="24"/>
                <w:lang w:eastAsia="zh-CN"/>
              </w:rPr>
            </w:pPr>
            <w:r>
              <w:rPr>
                <w:rFonts w:hint="eastAsia" w:ascii="宋体" w:hAnsi="宋体" w:eastAsia="宋体" w:cs="宋体"/>
                <w:b w:val="0"/>
                <w:bCs/>
                <w:color w:val="auto"/>
                <w:sz w:val="24"/>
                <w:lang w:eastAsia="zh-CN"/>
              </w:rPr>
              <w:t>线束</w:t>
            </w:r>
          </w:p>
        </w:tc>
        <w:tc>
          <w:tcPr>
            <w:tcW w:w="1118" w:type="dxa"/>
            <w:tcBorders>
              <w:top w:val="nil"/>
              <w:left w:val="nil"/>
              <w:bottom w:val="single" w:color="auto" w:sz="4" w:space="0"/>
              <w:right w:val="single" w:color="auto" w:sz="4" w:space="0"/>
            </w:tcBorders>
            <w:shd w:val="clear" w:color="auto" w:fill="auto"/>
            <w:vAlign w:val="center"/>
          </w:tcPr>
          <w:p w14:paraId="5C3DEF53">
            <w:pPr>
              <w:pStyle w:val="26"/>
              <w:spacing w:before="105" w:after="150"/>
              <w:jc w:val="left"/>
              <w:rPr>
                <w:rFonts w:hint="eastAsia" w:ascii="宋体" w:hAnsi="宋体" w:eastAsia="宋体" w:cs="宋体"/>
                <w:b w:val="0"/>
                <w:bCs/>
                <w:color w:val="auto"/>
                <w:sz w:val="24"/>
                <w:lang w:eastAsia="zh-CN"/>
              </w:rPr>
            </w:pPr>
            <w:r>
              <w:rPr>
                <w:rFonts w:hint="eastAsia" w:ascii="宋体" w:hAnsi="宋体" w:eastAsia="宋体" w:cs="宋体"/>
                <w:b w:val="0"/>
                <w:bCs/>
                <w:color w:val="auto"/>
                <w:sz w:val="24"/>
                <w:lang w:eastAsia="zh-CN"/>
              </w:rPr>
              <w:t>1套</w:t>
            </w:r>
          </w:p>
        </w:tc>
        <w:tc>
          <w:tcPr>
            <w:tcW w:w="4530" w:type="dxa"/>
            <w:tcBorders>
              <w:top w:val="nil"/>
              <w:left w:val="nil"/>
              <w:bottom w:val="single" w:color="auto" w:sz="4" w:space="0"/>
              <w:right w:val="single" w:color="auto" w:sz="4" w:space="0"/>
            </w:tcBorders>
            <w:shd w:val="clear" w:color="auto" w:fill="auto"/>
            <w:vAlign w:val="center"/>
          </w:tcPr>
          <w:p w14:paraId="3D54A6A3">
            <w:pPr>
              <w:pStyle w:val="26"/>
              <w:spacing w:before="105" w:after="150"/>
              <w:jc w:val="left"/>
              <w:rPr>
                <w:rFonts w:hint="eastAsia" w:ascii="宋体" w:hAnsi="宋体" w:eastAsia="宋体" w:cs="宋体"/>
                <w:b w:val="0"/>
                <w:bCs/>
                <w:color w:val="auto"/>
                <w:sz w:val="24"/>
                <w:lang w:eastAsia="zh-CN"/>
              </w:rPr>
            </w:pPr>
            <w:r>
              <w:rPr>
                <w:rFonts w:hint="eastAsia" w:ascii="宋体" w:hAnsi="宋体" w:eastAsia="宋体" w:cs="宋体"/>
                <w:b w:val="0"/>
                <w:bCs/>
                <w:color w:val="auto"/>
                <w:sz w:val="24"/>
                <w:lang w:eastAsia="zh-CN"/>
              </w:rPr>
              <w:t>含高、低压线束</w:t>
            </w:r>
          </w:p>
        </w:tc>
      </w:tr>
      <w:tr w14:paraId="1A38E074">
        <w:tblPrEx>
          <w:tblCellMar>
            <w:top w:w="0" w:type="dxa"/>
            <w:left w:w="108" w:type="dxa"/>
            <w:bottom w:w="0" w:type="dxa"/>
            <w:right w:w="108" w:type="dxa"/>
          </w:tblCellMar>
        </w:tblPrEx>
        <w:trPr>
          <w:trHeight w:val="580" w:hRule="atLeast"/>
        </w:trPr>
        <w:tc>
          <w:tcPr>
            <w:tcW w:w="1149" w:type="dxa"/>
            <w:vMerge w:val="continue"/>
            <w:tcBorders>
              <w:top w:val="nil"/>
              <w:left w:val="single" w:color="auto" w:sz="4" w:space="0"/>
              <w:bottom w:val="single" w:color="000000" w:sz="4" w:space="0"/>
              <w:right w:val="single" w:color="auto" w:sz="4" w:space="0"/>
            </w:tcBorders>
            <w:vAlign w:val="center"/>
          </w:tcPr>
          <w:p w14:paraId="6132B5B5">
            <w:pPr>
              <w:pStyle w:val="26"/>
              <w:spacing w:before="105" w:after="150"/>
              <w:jc w:val="left"/>
              <w:rPr>
                <w:rFonts w:hint="eastAsia" w:ascii="宋体" w:hAnsi="宋体" w:eastAsia="宋体" w:cs="宋体"/>
                <w:b w:val="0"/>
                <w:bCs/>
                <w:color w:val="auto"/>
                <w:sz w:val="24"/>
                <w:lang w:eastAsia="zh-CN"/>
              </w:rPr>
            </w:pPr>
          </w:p>
        </w:tc>
        <w:tc>
          <w:tcPr>
            <w:tcW w:w="1527" w:type="dxa"/>
            <w:tcBorders>
              <w:top w:val="nil"/>
              <w:left w:val="nil"/>
              <w:bottom w:val="single" w:color="auto" w:sz="4" w:space="0"/>
              <w:right w:val="single" w:color="auto" w:sz="4" w:space="0"/>
            </w:tcBorders>
            <w:shd w:val="clear" w:color="auto" w:fill="auto"/>
            <w:vAlign w:val="center"/>
          </w:tcPr>
          <w:p w14:paraId="74B0E740">
            <w:pPr>
              <w:pStyle w:val="26"/>
              <w:spacing w:before="105" w:after="150"/>
              <w:jc w:val="left"/>
              <w:rPr>
                <w:rFonts w:hint="eastAsia" w:ascii="宋体" w:hAnsi="宋体" w:eastAsia="宋体" w:cs="宋体"/>
                <w:b w:val="0"/>
                <w:bCs/>
                <w:color w:val="auto"/>
                <w:sz w:val="24"/>
                <w:lang w:eastAsia="zh-CN"/>
              </w:rPr>
            </w:pPr>
            <w:r>
              <w:rPr>
                <w:rFonts w:hint="eastAsia" w:ascii="宋体" w:hAnsi="宋体" w:eastAsia="宋体" w:cs="宋体"/>
                <w:b w:val="0"/>
                <w:bCs/>
                <w:color w:val="auto"/>
                <w:sz w:val="24"/>
                <w:lang w:eastAsia="zh-CN"/>
              </w:rPr>
              <w:t>附件</w:t>
            </w:r>
          </w:p>
        </w:tc>
        <w:tc>
          <w:tcPr>
            <w:tcW w:w="1118" w:type="dxa"/>
            <w:tcBorders>
              <w:top w:val="nil"/>
              <w:left w:val="nil"/>
              <w:bottom w:val="single" w:color="auto" w:sz="4" w:space="0"/>
              <w:right w:val="single" w:color="auto" w:sz="4" w:space="0"/>
            </w:tcBorders>
            <w:shd w:val="clear" w:color="auto" w:fill="auto"/>
            <w:vAlign w:val="center"/>
          </w:tcPr>
          <w:p w14:paraId="508F106A">
            <w:pPr>
              <w:pStyle w:val="26"/>
              <w:spacing w:before="105" w:after="150"/>
              <w:jc w:val="left"/>
              <w:rPr>
                <w:rFonts w:hint="eastAsia" w:ascii="宋体" w:hAnsi="宋体" w:eastAsia="宋体" w:cs="宋体"/>
                <w:b w:val="0"/>
                <w:bCs/>
                <w:color w:val="auto"/>
                <w:sz w:val="24"/>
                <w:lang w:eastAsia="zh-CN"/>
              </w:rPr>
            </w:pPr>
            <w:r>
              <w:rPr>
                <w:rFonts w:hint="eastAsia" w:ascii="宋体" w:hAnsi="宋体" w:eastAsia="宋体" w:cs="宋体"/>
                <w:b w:val="0"/>
                <w:bCs/>
                <w:color w:val="auto"/>
                <w:sz w:val="24"/>
                <w:lang w:eastAsia="zh-CN"/>
              </w:rPr>
              <w:t>1套</w:t>
            </w:r>
          </w:p>
        </w:tc>
        <w:tc>
          <w:tcPr>
            <w:tcW w:w="4530" w:type="dxa"/>
            <w:tcBorders>
              <w:top w:val="nil"/>
              <w:left w:val="nil"/>
              <w:bottom w:val="single" w:color="auto" w:sz="4" w:space="0"/>
              <w:right w:val="single" w:color="auto" w:sz="4" w:space="0"/>
            </w:tcBorders>
            <w:shd w:val="clear" w:color="auto" w:fill="auto"/>
            <w:vAlign w:val="center"/>
          </w:tcPr>
          <w:p w14:paraId="4F8143B9">
            <w:pPr>
              <w:pStyle w:val="26"/>
              <w:spacing w:before="105" w:after="150"/>
              <w:jc w:val="left"/>
              <w:rPr>
                <w:rFonts w:hint="eastAsia" w:ascii="宋体" w:hAnsi="宋体" w:eastAsia="宋体" w:cs="宋体"/>
                <w:b w:val="0"/>
                <w:bCs/>
                <w:color w:val="auto"/>
                <w:sz w:val="24"/>
                <w:lang w:eastAsia="zh-CN"/>
              </w:rPr>
            </w:pPr>
            <w:r>
              <w:rPr>
                <w:rFonts w:hint="eastAsia" w:ascii="宋体" w:hAnsi="宋体" w:eastAsia="宋体" w:cs="宋体"/>
                <w:b w:val="0"/>
                <w:bCs/>
                <w:color w:val="auto"/>
                <w:sz w:val="24"/>
                <w:lang w:eastAsia="zh-CN"/>
              </w:rPr>
              <w:t>标准件、BMS及线束固定支架、电控附加线等</w:t>
            </w:r>
          </w:p>
        </w:tc>
      </w:tr>
      <w:tr w14:paraId="0BF7E94E">
        <w:tblPrEx>
          <w:tblCellMar>
            <w:top w:w="0" w:type="dxa"/>
            <w:left w:w="108" w:type="dxa"/>
            <w:bottom w:w="0" w:type="dxa"/>
            <w:right w:w="108" w:type="dxa"/>
          </w:tblCellMar>
        </w:tblPrEx>
        <w:trPr>
          <w:trHeight w:val="580" w:hRule="atLeast"/>
        </w:trPr>
        <w:tc>
          <w:tcPr>
            <w:tcW w:w="1149" w:type="dxa"/>
            <w:vMerge w:val="continue"/>
            <w:tcBorders>
              <w:top w:val="nil"/>
              <w:left w:val="single" w:color="auto" w:sz="4" w:space="0"/>
              <w:bottom w:val="single" w:color="000000" w:sz="4" w:space="0"/>
              <w:right w:val="single" w:color="auto" w:sz="4" w:space="0"/>
            </w:tcBorders>
            <w:vAlign w:val="center"/>
          </w:tcPr>
          <w:p w14:paraId="03DBBFED">
            <w:pPr>
              <w:pStyle w:val="26"/>
              <w:spacing w:before="105" w:after="150"/>
              <w:jc w:val="left"/>
              <w:rPr>
                <w:rFonts w:hint="eastAsia" w:ascii="宋体" w:hAnsi="宋体" w:eastAsia="宋体" w:cs="宋体"/>
                <w:b w:val="0"/>
                <w:bCs/>
                <w:color w:val="auto"/>
                <w:sz w:val="24"/>
                <w:lang w:eastAsia="zh-CN"/>
              </w:rPr>
            </w:pPr>
          </w:p>
        </w:tc>
        <w:tc>
          <w:tcPr>
            <w:tcW w:w="1527" w:type="dxa"/>
            <w:tcBorders>
              <w:top w:val="nil"/>
              <w:left w:val="nil"/>
              <w:bottom w:val="single" w:color="auto" w:sz="4" w:space="0"/>
              <w:right w:val="single" w:color="auto" w:sz="4" w:space="0"/>
            </w:tcBorders>
            <w:shd w:val="clear" w:color="auto" w:fill="auto"/>
            <w:vAlign w:val="center"/>
          </w:tcPr>
          <w:p w14:paraId="19A46640">
            <w:pPr>
              <w:pStyle w:val="26"/>
              <w:spacing w:before="105" w:after="150"/>
              <w:jc w:val="left"/>
              <w:rPr>
                <w:rFonts w:hint="eastAsia" w:ascii="宋体" w:hAnsi="宋体" w:eastAsia="宋体" w:cs="宋体"/>
                <w:b w:val="0"/>
                <w:bCs/>
                <w:color w:val="auto"/>
                <w:sz w:val="24"/>
                <w:lang w:val="en-US" w:eastAsia="zh-CN"/>
              </w:rPr>
            </w:pPr>
            <w:r>
              <w:rPr>
                <w:rFonts w:hint="eastAsia" w:ascii="宋体" w:hAnsi="宋体" w:eastAsia="宋体" w:cs="宋体"/>
                <w:b w:val="0"/>
                <w:bCs/>
                <w:color w:val="auto"/>
                <w:sz w:val="24"/>
                <w:lang w:val="en-US" w:eastAsia="zh-CN"/>
              </w:rPr>
              <w:t>多合一</w:t>
            </w:r>
          </w:p>
        </w:tc>
        <w:tc>
          <w:tcPr>
            <w:tcW w:w="1118" w:type="dxa"/>
            <w:tcBorders>
              <w:top w:val="nil"/>
              <w:left w:val="nil"/>
              <w:bottom w:val="single" w:color="auto" w:sz="4" w:space="0"/>
              <w:right w:val="single" w:color="auto" w:sz="4" w:space="0"/>
            </w:tcBorders>
            <w:shd w:val="clear" w:color="auto" w:fill="auto"/>
            <w:vAlign w:val="center"/>
          </w:tcPr>
          <w:p w14:paraId="7AFE558D">
            <w:pPr>
              <w:pStyle w:val="26"/>
              <w:spacing w:before="105" w:after="150"/>
              <w:jc w:val="left"/>
              <w:rPr>
                <w:rFonts w:hint="eastAsia" w:ascii="宋体" w:hAnsi="宋体" w:eastAsia="宋体" w:cs="宋体"/>
                <w:b w:val="0"/>
                <w:bCs/>
                <w:color w:val="auto"/>
                <w:sz w:val="24"/>
                <w:lang w:val="en-US" w:eastAsia="zh-CN"/>
              </w:rPr>
            </w:pPr>
            <w:r>
              <w:rPr>
                <w:rFonts w:hint="eastAsia" w:ascii="宋体" w:hAnsi="宋体" w:eastAsia="宋体" w:cs="宋体"/>
                <w:b w:val="0"/>
                <w:bCs/>
                <w:color w:val="auto"/>
                <w:sz w:val="24"/>
                <w:lang w:val="en-US" w:eastAsia="zh-CN"/>
              </w:rPr>
              <w:t>1套</w:t>
            </w:r>
          </w:p>
        </w:tc>
        <w:tc>
          <w:tcPr>
            <w:tcW w:w="4530" w:type="dxa"/>
            <w:tcBorders>
              <w:top w:val="nil"/>
              <w:left w:val="nil"/>
              <w:bottom w:val="single" w:color="auto" w:sz="4" w:space="0"/>
              <w:right w:val="single" w:color="auto" w:sz="4" w:space="0"/>
            </w:tcBorders>
            <w:shd w:val="clear" w:color="auto" w:fill="auto"/>
            <w:vAlign w:val="center"/>
          </w:tcPr>
          <w:p w14:paraId="52E4D9E2">
            <w:pPr>
              <w:pStyle w:val="26"/>
              <w:spacing w:before="105" w:after="150"/>
              <w:jc w:val="left"/>
              <w:rPr>
                <w:rFonts w:hint="eastAsia" w:ascii="宋体" w:hAnsi="宋体" w:eastAsia="宋体" w:cs="宋体"/>
                <w:b w:val="0"/>
                <w:bCs/>
                <w:color w:val="auto"/>
                <w:sz w:val="24"/>
                <w:lang w:val="en-US" w:eastAsia="zh-CN"/>
              </w:rPr>
            </w:pPr>
            <w:r>
              <w:rPr>
                <w:rFonts w:hint="eastAsia" w:ascii="宋体" w:hAnsi="宋体" w:eastAsia="宋体" w:cs="宋体"/>
                <w:b w:val="0"/>
                <w:bCs/>
                <w:color w:val="auto"/>
                <w:sz w:val="24"/>
                <w:lang w:val="en-US" w:eastAsia="zh-CN"/>
              </w:rPr>
              <w:t>多合一</w:t>
            </w:r>
          </w:p>
        </w:tc>
      </w:tr>
      <w:tr w14:paraId="7385CBCB">
        <w:tblPrEx>
          <w:tblCellMar>
            <w:top w:w="0" w:type="dxa"/>
            <w:left w:w="108" w:type="dxa"/>
            <w:bottom w:w="0" w:type="dxa"/>
            <w:right w:w="108" w:type="dxa"/>
          </w:tblCellMar>
        </w:tblPrEx>
        <w:trPr>
          <w:trHeight w:val="465" w:hRule="atLeast"/>
        </w:trPr>
        <w:tc>
          <w:tcPr>
            <w:tcW w:w="1149" w:type="dxa"/>
            <w:vMerge w:val="continue"/>
            <w:tcBorders>
              <w:top w:val="nil"/>
              <w:left w:val="single" w:color="auto" w:sz="4" w:space="0"/>
              <w:bottom w:val="single" w:color="000000" w:sz="4" w:space="0"/>
              <w:right w:val="single" w:color="auto" w:sz="4" w:space="0"/>
            </w:tcBorders>
            <w:vAlign w:val="center"/>
          </w:tcPr>
          <w:p w14:paraId="10AFE4FB">
            <w:pPr>
              <w:pStyle w:val="26"/>
              <w:spacing w:before="105" w:after="150"/>
              <w:jc w:val="left"/>
              <w:rPr>
                <w:rFonts w:hint="eastAsia" w:ascii="宋体" w:hAnsi="宋体" w:eastAsia="宋体" w:cs="宋体"/>
                <w:b w:val="0"/>
                <w:bCs/>
                <w:color w:val="auto"/>
                <w:sz w:val="24"/>
                <w:lang w:eastAsia="zh-CN"/>
              </w:rPr>
            </w:pPr>
          </w:p>
        </w:tc>
        <w:tc>
          <w:tcPr>
            <w:tcW w:w="1527" w:type="dxa"/>
            <w:tcBorders>
              <w:top w:val="nil"/>
              <w:left w:val="nil"/>
              <w:bottom w:val="single" w:color="auto" w:sz="4" w:space="0"/>
              <w:right w:val="single" w:color="auto" w:sz="4" w:space="0"/>
            </w:tcBorders>
            <w:shd w:val="clear" w:color="auto" w:fill="auto"/>
            <w:vAlign w:val="center"/>
          </w:tcPr>
          <w:p w14:paraId="061C5735">
            <w:pPr>
              <w:pStyle w:val="26"/>
              <w:spacing w:before="105" w:after="150"/>
              <w:jc w:val="left"/>
              <w:rPr>
                <w:rFonts w:hint="eastAsia" w:ascii="宋体" w:hAnsi="宋体" w:eastAsia="宋体" w:cs="宋体"/>
                <w:b w:val="0"/>
                <w:bCs/>
                <w:color w:val="auto"/>
                <w:sz w:val="24"/>
                <w:lang w:eastAsia="zh-CN"/>
              </w:rPr>
            </w:pPr>
            <w:r>
              <w:rPr>
                <w:rFonts w:hint="eastAsia" w:ascii="宋体" w:hAnsi="宋体" w:eastAsia="宋体" w:cs="宋体"/>
                <w:b w:val="0"/>
                <w:bCs/>
                <w:color w:val="auto"/>
                <w:sz w:val="24"/>
                <w:lang w:eastAsia="zh-CN"/>
              </w:rPr>
              <w:t>合计</w:t>
            </w:r>
          </w:p>
        </w:tc>
        <w:tc>
          <w:tcPr>
            <w:tcW w:w="1118" w:type="dxa"/>
            <w:tcBorders>
              <w:top w:val="nil"/>
              <w:left w:val="nil"/>
              <w:bottom w:val="single" w:color="auto" w:sz="4" w:space="0"/>
              <w:right w:val="single" w:color="auto" w:sz="4" w:space="0"/>
            </w:tcBorders>
            <w:shd w:val="clear" w:color="auto" w:fill="auto"/>
            <w:vAlign w:val="center"/>
          </w:tcPr>
          <w:p w14:paraId="7896AE57">
            <w:pPr>
              <w:pStyle w:val="26"/>
              <w:spacing w:before="105" w:after="150"/>
              <w:jc w:val="left"/>
              <w:rPr>
                <w:rFonts w:hint="eastAsia" w:ascii="宋体" w:hAnsi="宋体" w:eastAsia="宋体" w:cs="宋体"/>
                <w:b w:val="0"/>
                <w:bCs/>
                <w:color w:val="auto"/>
                <w:sz w:val="24"/>
                <w:lang w:eastAsia="zh-CN"/>
              </w:rPr>
            </w:pPr>
            <w:r>
              <w:rPr>
                <w:rFonts w:hint="eastAsia" w:ascii="宋体" w:hAnsi="宋体" w:eastAsia="宋体" w:cs="宋体"/>
                <w:b w:val="0"/>
                <w:bCs/>
                <w:color w:val="auto"/>
                <w:sz w:val="24"/>
                <w:lang w:val="en-US" w:eastAsia="zh-CN"/>
              </w:rPr>
              <w:t>4</w:t>
            </w:r>
            <w:r>
              <w:rPr>
                <w:rFonts w:hint="eastAsia" w:ascii="宋体" w:hAnsi="宋体" w:eastAsia="宋体" w:cs="宋体"/>
                <w:b w:val="0"/>
                <w:bCs/>
                <w:color w:val="auto"/>
                <w:sz w:val="24"/>
                <w:lang w:eastAsia="zh-CN"/>
              </w:rPr>
              <w:t>套</w:t>
            </w:r>
          </w:p>
        </w:tc>
        <w:tc>
          <w:tcPr>
            <w:tcW w:w="4530" w:type="dxa"/>
            <w:tcBorders>
              <w:top w:val="nil"/>
              <w:left w:val="nil"/>
              <w:bottom w:val="single" w:color="auto" w:sz="4" w:space="0"/>
              <w:right w:val="single" w:color="auto" w:sz="4" w:space="0"/>
            </w:tcBorders>
            <w:shd w:val="clear" w:color="auto" w:fill="auto"/>
            <w:vAlign w:val="center"/>
          </w:tcPr>
          <w:p w14:paraId="21BEF3C1">
            <w:pPr>
              <w:pStyle w:val="26"/>
              <w:spacing w:before="105" w:after="150"/>
              <w:jc w:val="left"/>
              <w:rPr>
                <w:rFonts w:hint="eastAsia" w:ascii="宋体" w:hAnsi="宋体" w:eastAsia="宋体" w:cs="宋体"/>
                <w:b w:val="0"/>
                <w:bCs/>
                <w:color w:val="auto"/>
                <w:sz w:val="24"/>
                <w:lang w:eastAsia="zh-CN"/>
              </w:rPr>
            </w:pPr>
          </w:p>
        </w:tc>
      </w:tr>
    </w:tbl>
    <w:p w14:paraId="69F1AC91">
      <w:pPr>
        <w:pStyle w:val="26"/>
        <w:spacing w:before="105" w:after="150" w:line="360" w:lineRule="auto"/>
        <w:jc w:val="left"/>
        <w:rPr>
          <w:rFonts w:hint="eastAsia" w:ascii="宋体" w:hAnsi="宋体" w:eastAsia="宋体" w:cs="宋体"/>
          <w:b w:val="0"/>
          <w:bCs/>
          <w:color w:val="auto"/>
          <w:sz w:val="24"/>
          <w:lang w:val="zh-CN" w:eastAsia="zh-CN"/>
        </w:rPr>
      </w:pPr>
      <w:r>
        <w:rPr>
          <w:rFonts w:hint="eastAsia" w:ascii="宋体" w:hAnsi="宋体" w:eastAsia="宋体" w:cs="宋体"/>
          <w:b w:val="0"/>
          <w:bCs/>
          <w:color w:val="auto"/>
          <w:sz w:val="24"/>
          <w:lang w:val="en-US" w:eastAsia="zh-CN"/>
        </w:rPr>
        <w:t>2.2.3.1、投标人所投产品为质量合格的全新产品，符合国家标准，无国家标准的，符合部颁标准，无部颁标准的，符合行业标准。</w:t>
      </w:r>
    </w:p>
    <w:p w14:paraId="1986DAA2">
      <w:pPr>
        <w:pStyle w:val="26"/>
        <w:spacing w:before="105" w:after="150" w:line="360" w:lineRule="auto"/>
        <w:jc w:val="left"/>
        <w:rPr>
          <w:rFonts w:hint="eastAsia" w:ascii="宋体" w:hAnsi="宋体" w:eastAsia="宋体" w:cs="宋体"/>
          <w:b w:val="0"/>
          <w:bCs/>
          <w:color w:val="auto"/>
          <w:sz w:val="24"/>
          <w:lang w:val="en-US" w:eastAsia="zh-CN"/>
        </w:rPr>
      </w:pPr>
      <w:r>
        <w:rPr>
          <w:rFonts w:hint="eastAsia" w:ascii="宋体" w:hAnsi="宋体" w:eastAsia="宋体" w:cs="宋体"/>
          <w:b w:val="0"/>
          <w:bCs/>
          <w:color w:val="auto"/>
          <w:sz w:val="24"/>
          <w:lang w:val="en-US" w:eastAsia="zh-CN"/>
        </w:rPr>
        <w:t>2.2.3.2、中标人需自行与车辆厂家协商整车通讯协议、控制程序等，须在合同签订履约期限内完成供货、安装、调试，确保公交车辆及时正常运行。</w:t>
      </w:r>
    </w:p>
    <w:p w14:paraId="2D603582">
      <w:pPr>
        <w:pStyle w:val="26"/>
        <w:spacing w:before="105" w:after="150" w:line="360" w:lineRule="auto"/>
        <w:jc w:val="left"/>
        <w:rPr>
          <w:rFonts w:hint="eastAsia" w:ascii="宋体" w:hAnsi="宋体" w:eastAsia="宋体" w:cs="宋体"/>
          <w:b w:val="0"/>
          <w:bCs/>
          <w:color w:val="auto"/>
          <w:sz w:val="24"/>
          <w:lang w:val="en-US" w:eastAsia="zh-CN"/>
        </w:rPr>
      </w:pPr>
      <w:r>
        <w:rPr>
          <w:rFonts w:hint="eastAsia" w:ascii="宋体" w:hAnsi="宋体" w:eastAsia="宋体" w:cs="宋体"/>
          <w:b w:val="0"/>
          <w:bCs/>
          <w:color w:val="auto"/>
          <w:sz w:val="24"/>
          <w:lang w:val="en-US" w:eastAsia="zh-CN"/>
        </w:rPr>
        <w:t>2.2.3.3.电池更换工作包含：所有车带电池均衡系统；各连接高、低压线束；高压箱； BMS；全新电池 pack；电池加热装置；充电线束；各紧固件；电池箱体托架；换电安装（含旧电池拆除，旧电池所有权归中标人）；试车等内容。</w:t>
      </w:r>
    </w:p>
    <w:p w14:paraId="1E4526AE">
      <w:pPr>
        <w:pStyle w:val="26"/>
        <w:spacing w:before="105" w:after="150" w:line="360" w:lineRule="auto"/>
        <w:jc w:val="left"/>
        <w:rPr>
          <w:rFonts w:hint="eastAsia" w:ascii="宋体" w:hAnsi="宋体" w:eastAsia="宋体" w:cs="宋体"/>
          <w:b w:val="0"/>
          <w:bCs/>
          <w:color w:val="auto"/>
          <w:sz w:val="24"/>
          <w:lang w:eastAsia="zh-CN"/>
        </w:rPr>
      </w:pPr>
      <w:r>
        <w:rPr>
          <w:rFonts w:hint="eastAsia" w:ascii="宋体" w:hAnsi="宋体" w:eastAsia="宋体" w:cs="宋体"/>
          <w:b w:val="0"/>
          <w:bCs/>
          <w:color w:val="auto"/>
          <w:sz w:val="24"/>
          <w:lang w:val="en-US" w:eastAsia="zh-CN"/>
        </w:rPr>
        <w:t>2.2.3.4.投标人所投电池执行标准： GB 38031-2020、GB/T 31484-2015、GB/T 31486-2015、 GB/T 34013-2017、GB/T 31467.3-2015（如上述有与最新标准不一致的，则投标人以最新国家标准为准）；当产品在规定的5年或30万公里质保期内，容量衰减超出要求或出现缺陷及不符合使用时，由中标人负责免费维修或更换。</w:t>
      </w:r>
    </w:p>
    <w:p w14:paraId="5420B45F">
      <w:pPr>
        <w:pStyle w:val="26"/>
        <w:spacing w:before="105" w:after="150"/>
        <w:jc w:val="left"/>
        <w:rPr>
          <w:rFonts w:hint="eastAsia" w:ascii="宋体" w:hAnsi="宋体" w:eastAsia="宋体" w:cs="宋体"/>
          <w:b/>
          <w:color w:val="auto"/>
          <w:sz w:val="24"/>
          <w:lang w:val="en-US" w:eastAsia="zh-CN"/>
        </w:rPr>
      </w:pPr>
      <w:r>
        <w:rPr>
          <w:rFonts w:hint="eastAsia" w:ascii="宋体" w:hAnsi="宋体" w:eastAsia="宋体" w:cs="宋体"/>
          <w:b/>
          <w:color w:val="auto"/>
          <w:sz w:val="24"/>
          <w:lang w:eastAsia="zh-CN"/>
        </w:rPr>
        <w:t>采购包</w:t>
      </w:r>
      <w:r>
        <w:rPr>
          <w:rFonts w:hint="eastAsia" w:ascii="宋体" w:hAnsi="宋体" w:eastAsia="宋体" w:cs="宋体"/>
          <w:b/>
          <w:color w:val="auto"/>
          <w:sz w:val="24"/>
          <w:lang w:val="en-US" w:eastAsia="zh-CN"/>
        </w:rPr>
        <w:t>2：</w:t>
      </w:r>
    </w:p>
    <w:p w14:paraId="550981F8">
      <w:pPr>
        <w:pStyle w:val="26"/>
        <w:spacing w:before="105" w:after="150"/>
        <w:jc w:val="left"/>
        <w:rPr>
          <w:rFonts w:hint="eastAsia" w:ascii="宋体" w:hAnsi="宋体" w:eastAsia="宋体" w:cs="宋体"/>
          <w:b/>
          <w:color w:val="auto"/>
          <w:sz w:val="24"/>
          <w:lang w:val="en-US" w:eastAsia="zh-CN"/>
        </w:rPr>
      </w:pPr>
      <w:r>
        <w:rPr>
          <w:rFonts w:hint="eastAsia" w:ascii="宋体" w:hAnsi="宋体" w:eastAsia="宋体" w:cs="宋体"/>
          <w:b/>
          <w:color w:val="auto"/>
          <w:sz w:val="24"/>
          <w:lang w:val="en-US" w:eastAsia="zh-CN"/>
        </w:rPr>
        <w:t xml:space="preserve">2.2长续航版纯电动客车 </w:t>
      </w:r>
    </w:p>
    <w:tbl>
      <w:tblPr>
        <w:tblStyle w:val="18"/>
        <w:tblW w:w="98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918"/>
        <w:gridCol w:w="1200"/>
        <w:gridCol w:w="6047"/>
        <w:gridCol w:w="914"/>
      </w:tblGrid>
      <w:tr w14:paraId="7EB55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26A7CC8F">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序号</w:t>
            </w:r>
          </w:p>
        </w:tc>
        <w:tc>
          <w:tcPr>
            <w:tcW w:w="918" w:type="dxa"/>
            <w:vAlign w:val="center"/>
          </w:tcPr>
          <w:p w14:paraId="42C67023">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项目</w:t>
            </w:r>
          </w:p>
        </w:tc>
        <w:tc>
          <w:tcPr>
            <w:tcW w:w="1200" w:type="dxa"/>
            <w:vAlign w:val="center"/>
          </w:tcPr>
          <w:p w14:paraId="539F62FD">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基本配置</w:t>
            </w:r>
          </w:p>
        </w:tc>
        <w:tc>
          <w:tcPr>
            <w:tcW w:w="6047" w:type="dxa"/>
            <w:vAlign w:val="center"/>
          </w:tcPr>
          <w:p w14:paraId="0F40B29D">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技术要求</w:t>
            </w:r>
          </w:p>
        </w:tc>
        <w:tc>
          <w:tcPr>
            <w:tcW w:w="914" w:type="dxa"/>
            <w:vAlign w:val="center"/>
          </w:tcPr>
          <w:p w14:paraId="37849E4F">
            <w:pPr>
              <w:spacing w:line="360" w:lineRule="auto"/>
              <w:jc w:val="center"/>
              <w:rPr>
                <w:rFonts w:hint="eastAsia" w:ascii="宋体" w:hAnsi="宋体" w:eastAsia="宋体" w:cs="宋体"/>
                <w:color w:val="auto"/>
                <w:sz w:val="24"/>
                <w:szCs w:val="24"/>
              </w:rPr>
            </w:pPr>
            <w:r>
              <w:rPr>
                <w:rFonts w:hint="eastAsia" w:ascii="宋体" w:hAnsi="宋体" w:eastAsia="宋体" w:cs="宋体"/>
                <w:b w:val="0"/>
                <w:bCs/>
                <w:color w:val="auto"/>
                <w:sz w:val="24"/>
                <w:szCs w:val="24"/>
                <w:lang w:val="en-US" w:eastAsia="zh-CN"/>
              </w:rPr>
              <w:t>项号</w:t>
            </w:r>
          </w:p>
        </w:tc>
      </w:tr>
      <w:tr w14:paraId="631AF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5DD465B9">
            <w:pPr>
              <w:spacing w:line="360" w:lineRule="auto"/>
              <w:jc w:val="center"/>
              <w:rPr>
                <w:rFonts w:hint="eastAsia" w:ascii="宋体" w:hAnsi="宋体" w:eastAsia="宋体" w:cs="宋体"/>
                <w:color w:val="auto"/>
                <w:sz w:val="24"/>
                <w:szCs w:val="24"/>
              </w:rPr>
            </w:pPr>
          </w:p>
        </w:tc>
        <w:tc>
          <w:tcPr>
            <w:tcW w:w="918" w:type="dxa"/>
            <w:vAlign w:val="center"/>
          </w:tcPr>
          <w:p w14:paraId="4DEF03C4">
            <w:pPr>
              <w:spacing w:line="360" w:lineRule="auto"/>
              <w:jc w:val="center"/>
              <w:rPr>
                <w:rFonts w:hint="eastAsia" w:ascii="宋体" w:hAnsi="宋体" w:eastAsia="宋体" w:cs="宋体"/>
                <w:color w:val="auto"/>
                <w:sz w:val="24"/>
                <w:szCs w:val="24"/>
              </w:rPr>
            </w:pPr>
          </w:p>
        </w:tc>
        <w:tc>
          <w:tcPr>
            <w:tcW w:w="1200" w:type="dxa"/>
            <w:vAlign w:val="center"/>
          </w:tcPr>
          <w:p w14:paraId="11BDD273">
            <w:pPr>
              <w:spacing w:line="360" w:lineRule="auto"/>
              <w:jc w:val="center"/>
              <w:rPr>
                <w:rFonts w:hint="eastAsia" w:ascii="宋体" w:hAnsi="宋体" w:eastAsia="宋体" w:cs="宋体"/>
                <w:color w:val="auto"/>
                <w:sz w:val="24"/>
                <w:szCs w:val="24"/>
              </w:rPr>
            </w:pPr>
          </w:p>
        </w:tc>
        <w:tc>
          <w:tcPr>
            <w:tcW w:w="6047" w:type="dxa"/>
            <w:vAlign w:val="center"/>
          </w:tcPr>
          <w:p w14:paraId="299E52BE">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1、▲投标产品必须在工业和信息化部公布的《道路机动车辆生产企业及产品》公告目录内；所投产品需在《免征车辆购置税的新能源汽车车型目录》或《减免车辆购置税的新能源汽车车型目录》内。</w:t>
            </w:r>
          </w:p>
        </w:tc>
        <w:tc>
          <w:tcPr>
            <w:tcW w:w="914" w:type="dxa"/>
            <w:vAlign w:val="center"/>
          </w:tcPr>
          <w:p w14:paraId="36E4AF87">
            <w:pPr>
              <w:spacing w:line="360" w:lineRule="auto"/>
              <w:jc w:val="center"/>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项号1</w:t>
            </w:r>
          </w:p>
        </w:tc>
      </w:tr>
      <w:tr w14:paraId="08B7C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6" w:hRule="atLeast"/>
          <w:jc w:val="center"/>
        </w:trPr>
        <w:tc>
          <w:tcPr>
            <w:tcW w:w="807" w:type="dxa"/>
            <w:vAlign w:val="center"/>
          </w:tcPr>
          <w:p w14:paraId="09853AB0">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918" w:type="dxa"/>
            <w:vMerge w:val="restart"/>
            <w:vAlign w:val="center"/>
          </w:tcPr>
          <w:p w14:paraId="66DE807C">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整车</w:t>
            </w:r>
          </w:p>
        </w:tc>
        <w:tc>
          <w:tcPr>
            <w:tcW w:w="1200" w:type="dxa"/>
            <w:vAlign w:val="center"/>
          </w:tcPr>
          <w:p w14:paraId="1F4F67F6">
            <w:pPr>
              <w:spacing w:line="360" w:lineRule="auto"/>
              <w:jc w:val="center"/>
              <w:rPr>
                <w:rFonts w:hint="eastAsia" w:ascii="宋体" w:hAnsi="宋体" w:eastAsia="宋体" w:cs="宋体"/>
                <w:color w:val="auto"/>
                <w:sz w:val="24"/>
                <w:szCs w:val="24"/>
              </w:rPr>
            </w:pPr>
          </w:p>
        </w:tc>
        <w:tc>
          <w:tcPr>
            <w:tcW w:w="6047" w:type="dxa"/>
            <w:vAlign w:val="center"/>
          </w:tcPr>
          <w:p w14:paraId="7DD5D55D">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2、车辆配置应满足《电动客车安全技术条件》，配置安全监控管理系统。</w:t>
            </w:r>
          </w:p>
          <w:p w14:paraId="240B8868">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3、所有配置的总成、附件、零部件不得存在国家规定不允许的设计，不得配置国家规定不允许的部件，若车辆技术要求与国家有关技术质量标准发生冲突时，均以国家有关技术质量标准为准。</w:t>
            </w:r>
          </w:p>
          <w:p w14:paraId="754EEF29">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4、所有车辆在交车检验时必须完好、无破损，车辆配置应与此技术协议相符。</w:t>
            </w:r>
          </w:p>
        </w:tc>
        <w:tc>
          <w:tcPr>
            <w:tcW w:w="914" w:type="dxa"/>
            <w:vAlign w:val="center"/>
          </w:tcPr>
          <w:p w14:paraId="3CA7DB2D">
            <w:pPr>
              <w:spacing w:line="360" w:lineRule="auto"/>
              <w:rPr>
                <w:rFonts w:hint="eastAsia" w:ascii="宋体" w:hAnsi="宋体" w:eastAsia="宋体" w:cs="宋体"/>
                <w:color w:val="auto"/>
                <w:sz w:val="24"/>
                <w:szCs w:val="24"/>
              </w:rPr>
            </w:pPr>
            <w:r>
              <w:rPr>
                <w:rFonts w:hint="eastAsia" w:ascii="宋体" w:hAnsi="宋体" w:eastAsia="宋体" w:cs="宋体"/>
                <w:b w:val="0"/>
                <w:bCs/>
                <w:color w:val="auto"/>
                <w:sz w:val="24"/>
                <w:szCs w:val="24"/>
                <w:lang w:val="en-US" w:eastAsia="zh-CN"/>
              </w:rPr>
              <w:t>项号2</w:t>
            </w:r>
          </w:p>
        </w:tc>
      </w:tr>
      <w:tr w14:paraId="636A3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Merge w:val="restart"/>
            <w:vAlign w:val="center"/>
          </w:tcPr>
          <w:p w14:paraId="35F0315D">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918" w:type="dxa"/>
            <w:vMerge w:val="continue"/>
            <w:vAlign w:val="center"/>
          </w:tcPr>
          <w:p w14:paraId="6ABB58CA">
            <w:pPr>
              <w:spacing w:line="360" w:lineRule="auto"/>
              <w:jc w:val="center"/>
              <w:rPr>
                <w:rFonts w:hint="eastAsia" w:ascii="宋体" w:hAnsi="宋体" w:eastAsia="宋体" w:cs="宋体"/>
                <w:color w:val="auto"/>
                <w:sz w:val="24"/>
                <w:szCs w:val="24"/>
              </w:rPr>
            </w:pPr>
          </w:p>
        </w:tc>
        <w:tc>
          <w:tcPr>
            <w:tcW w:w="1200" w:type="dxa"/>
            <w:vMerge w:val="restart"/>
            <w:vAlign w:val="center"/>
          </w:tcPr>
          <w:p w14:paraId="598B31E3">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车身参数</w:t>
            </w:r>
          </w:p>
        </w:tc>
        <w:tc>
          <w:tcPr>
            <w:tcW w:w="6047" w:type="dxa"/>
            <w:vAlign w:val="center"/>
          </w:tcPr>
          <w:p w14:paraId="7706CF72">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符合国家公告要求</w:t>
            </w:r>
          </w:p>
          <w:p w14:paraId="69247FAB">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1、11900mm≤车长≤11999mm</w:t>
            </w:r>
          </w:p>
          <w:p w14:paraId="0A19AC24">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2、车宽≥25</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0mm</w:t>
            </w:r>
          </w:p>
          <w:p w14:paraId="7B3124FF">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以上参数须提供汽车产品参数信息公告页等证明材料。</w:t>
            </w:r>
          </w:p>
        </w:tc>
        <w:tc>
          <w:tcPr>
            <w:tcW w:w="914" w:type="dxa"/>
            <w:vAlign w:val="center"/>
          </w:tcPr>
          <w:p w14:paraId="7795AF25">
            <w:pPr>
              <w:spacing w:line="360" w:lineRule="auto"/>
              <w:rPr>
                <w:rFonts w:hint="eastAsia" w:ascii="宋体" w:hAnsi="宋体" w:eastAsia="宋体" w:cs="宋体"/>
                <w:color w:val="auto"/>
                <w:sz w:val="24"/>
                <w:szCs w:val="24"/>
              </w:rPr>
            </w:pPr>
            <w:r>
              <w:rPr>
                <w:rFonts w:hint="eastAsia" w:ascii="宋体" w:hAnsi="宋体" w:eastAsia="宋体" w:cs="宋体"/>
                <w:b w:val="0"/>
                <w:bCs/>
                <w:color w:val="auto"/>
                <w:sz w:val="24"/>
                <w:szCs w:val="24"/>
                <w:lang w:val="en-US" w:eastAsia="zh-CN"/>
              </w:rPr>
              <w:t>项号3</w:t>
            </w:r>
          </w:p>
        </w:tc>
      </w:tr>
      <w:tr w14:paraId="5A80B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Merge w:val="continue"/>
            <w:vAlign w:val="center"/>
          </w:tcPr>
          <w:p w14:paraId="0358088B">
            <w:pPr>
              <w:spacing w:line="360" w:lineRule="auto"/>
              <w:jc w:val="center"/>
              <w:rPr>
                <w:rFonts w:hint="eastAsia" w:ascii="宋体" w:hAnsi="宋体" w:eastAsia="宋体" w:cs="宋体"/>
                <w:color w:val="auto"/>
                <w:sz w:val="24"/>
                <w:szCs w:val="24"/>
              </w:rPr>
            </w:pPr>
          </w:p>
        </w:tc>
        <w:tc>
          <w:tcPr>
            <w:tcW w:w="918" w:type="dxa"/>
            <w:vMerge w:val="continue"/>
            <w:vAlign w:val="center"/>
          </w:tcPr>
          <w:p w14:paraId="6850F226">
            <w:pPr>
              <w:spacing w:line="360" w:lineRule="auto"/>
              <w:jc w:val="center"/>
              <w:rPr>
                <w:rFonts w:hint="eastAsia" w:ascii="宋体" w:hAnsi="宋体" w:eastAsia="宋体" w:cs="宋体"/>
                <w:color w:val="auto"/>
                <w:sz w:val="24"/>
                <w:szCs w:val="24"/>
              </w:rPr>
            </w:pPr>
          </w:p>
        </w:tc>
        <w:tc>
          <w:tcPr>
            <w:tcW w:w="1200" w:type="dxa"/>
            <w:vMerge w:val="continue"/>
            <w:vAlign w:val="center"/>
          </w:tcPr>
          <w:p w14:paraId="20D68820">
            <w:pPr>
              <w:spacing w:line="360" w:lineRule="auto"/>
              <w:jc w:val="center"/>
              <w:rPr>
                <w:rFonts w:hint="eastAsia" w:ascii="宋体" w:hAnsi="宋体" w:eastAsia="宋体" w:cs="宋体"/>
                <w:color w:val="auto"/>
                <w:sz w:val="24"/>
                <w:szCs w:val="24"/>
              </w:rPr>
            </w:pPr>
          </w:p>
        </w:tc>
        <w:tc>
          <w:tcPr>
            <w:tcW w:w="6047" w:type="dxa"/>
            <w:vAlign w:val="center"/>
          </w:tcPr>
          <w:p w14:paraId="25CC6232">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▲3、车高≤3500mm（含顶置空调）</w:t>
            </w:r>
          </w:p>
          <w:p w14:paraId="5FF1C932">
            <w:pPr>
              <w:pStyle w:val="21"/>
              <w:rPr>
                <w:rFonts w:hint="eastAsia" w:ascii="宋体" w:hAnsi="宋体" w:eastAsia="宋体" w:cs="宋体"/>
                <w:color w:val="auto"/>
                <w:sz w:val="24"/>
                <w:szCs w:val="24"/>
              </w:rPr>
            </w:pPr>
            <w:r>
              <w:rPr>
                <w:rFonts w:hint="eastAsia" w:ascii="宋体" w:hAnsi="宋体" w:eastAsia="宋体" w:cs="宋体"/>
                <w:color w:val="auto"/>
                <w:sz w:val="24"/>
                <w:szCs w:val="24"/>
              </w:rPr>
              <w:t>以上参数须提供汽车产品参数信息公告页等证明材料。</w:t>
            </w:r>
          </w:p>
        </w:tc>
        <w:tc>
          <w:tcPr>
            <w:tcW w:w="914" w:type="dxa"/>
            <w:vAlign w:val="center"/>
          </w:tcPr>
          <w:p w14:paraId="7A81E8A5">
            <w:pPr>
              <w:spacing w:line="360" w:lineRule="auto"/>
              <w:rPr>
                <w:rFonts w:hint="eastAsia" w:ascii="宋体" w:hAnsi="宋体" w:eastAsia="宋体" w:cs="宋体"/>
                <w:color w:val="auto"/>
                <w:sz w:val="24"/>
                <w:szCs w:val="24"/>
              </w:rPr>
            </w:pPr>
            <w:r>
              <w:rPr>
                <w:rFonts w:hint="eastAsia" w:ascii="宋体" w:hAnsi="宋体" w:eastAsia="宋体" w:cs="宋体"/>
                <w:b w:val="0"/>
                <w:bCs/>
                <w:color w:val="auto"/>
                <w:sz w:val="24"/>
                <w:szCs w:val="24"/>
                <w:lang w:val="en-US" w:eastAsia="zh-CN"/>
              </w:rPr>
              <w:t>项号4</w:t>
            </w:r>
          </w:p>
        </w:tc>
      </w:tr>
      <w:tr w14:paraId="39637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Merge w:val="continue"/>
            <w:vAlign w:val="center"/>
          </w:tcPr>
          <w:p w14:paraId="5B011131">
            <w:pPr>
              <w:spacing w:line="360" w:lineRule="auto"/>
              <w:jc w:val="center"/>
              <w:rPr>
                <w:rFonts w:hint="eastAsia" w:ascii="宋体" w:hAnsi="宋体" w:eastAsia="宋体" w:cs="宋体"/>
                <w:color w:val="auto"/>
                <w:sz w:val="24"/>
                <w:szCs w:val="24"/>
              </w:rPr>
            </w:pPr>
          </w:p>
        </w:tc>
        <w:tc>
          <w:tcPr>
            <w:tcW w:w="918" w:type="dxa"/>
            <w:vMerge w:val="continue"/>
            <w:vAlign w:val="center"/>
          </w:tcPr>
          <w:p w14:paraId="0743FD40">
            <w:pPr>
              <w:spacing w:line="360" w:lineRule="auto"/>
              <w:jc w:val="center"/>
              <w:rPr>
                <w:rFonts w:hint="eastAsia" w:ascii="宋体" w:hAnsi="宋体" w:eastAsia="宋体" w:cs="宋体"/>
                <w:color w:val="auto"/>
                <w:sz w:val="24"/>
                <w:szCs w:val="24"/>
              </w:rPr>
            </w:pPr>
          </w:p>
        </w:tc>
        <w:tc>
          <w:tcPr>
            <w:tcW w:w="1200" w:type="dxa"/>
            <w:vMerge w:val="continue"/>
            <w:vAlign w:val="center"/>
          </w:tcPr>
          <w:p w14:paraId="3192A519">
            <w:pPr>
              <w:spacing w:line="360" w:lineRule="auto"/>
              <w:jc w:val="center"/>
              <w:rPr>
                <w:rFonts w:hint="eastAsia" w:ascii="宋体" w:hAnsi="宋体" w:eastAsia="宋体" w:cs="宋体"/>
                <w:color w:val="auto"/>
                <w:sz w:val="24"/>
                <w:szCs w:val="24"/>
              </w:rPr>
            </w:pPr>
          </w:p>
        </w:tc>
        <w:tc>
          <w:tcPr>
            <w:tcW w:w="6047" w:type="dxa"/>
            <w:vAlign w:val="center"/>
          </w:tcPr>
          <w:p w14:paraId="4A612E6F">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▲4、轴距≤5600mm</w:t>
            </w:r>
          </w:p>
          <w:p w14:paraId="1BBAE084">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以上参数须提供汽车产品参数信息公告页等证明材料。</w:t>
            </w:r>
          </w:p>
        </w:tc>
        <w:tc>
          <w:tcPr>
            <w:tcW w:w="914" w:type="dxa"/>
            <w:vAlign w:val="center"/>
          </w:tcPr>
          <w:p w14:paraId="603CA19D">
            <w:pPr>
              <w:spacing w:line="360" w:lineRule="auto"/>
              <w:ind w:left="0" w:leftChars="0" w:right="0" w:rightChars="0"/>
              <w:rPr>
                <w:rFonts w:hint="eastAsia" w:ascii="宋体" w:hAnsi="宋体" w:eastAsia="宋体" w:cs="宋体"/>
                <w:color w:val="auto"/>
                <w:sz w:val="24"/>
                <w:szCs w:val="24"/>
              </w:rPr>
            </w:pPr>
            <w:r>
              <w:rPr>
                <w:rFonts w:hint="eastAsia" w:ascii="宋体" w:hAnsi="宋体" w:eastAsia="宋体" w:cs="宋体"/>
                <w:b w:val="0"/>
                <w:bCs/>
                <w:color w:val="auto"/>
                <w:sz w:val="24"/>
                <w:szCs w:val="24"/>
                <w:lang w:val="en-US" w:eastAsia="zh-CN"/>
              </w:rPr>
              <w:t>项号5</w:t>
            </w:r>
          </w:p>
        </w:tc>
      </w:tr>
      <w:tr w14:paraId="3DEBD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Merge w:val="continue"/>
            <w:vAlign w:val="center"/>
          </w:tcPr>
          <w:p w14:paraId="3C44D26F">
            <w:pPr>
              <w:spacing w:line="360" w:lineRule="auto"/>
              <w:jc w:val="center"/>
              <w:rPr>
                <w:rFonts w:hint="eastAsia" w:ascii="宋体" w:hAnsi="宋体" w:eastAsia="宋体" w:cs="宋体"/>
                <w:color w:val="auto"/>
                <w:sz w:val="24"/>
                <w:szCs w:val="24"/>
              </w:rPr>
            </w:pPr>
          </w:p>
        </w:tc>
        <w:tc>
          <w:tcPr>
            <w:tcW w:w="918" w:type="dxa"/>
            <w:vMerge w:val="continue"/>
            <w:vAlign w:val="center"/>
          </w:tcPr>
          <w:p w14:paraId="36183122">
            <w:pPr>
              <w:spacing w:line="360" w:lineRule="auto"/>
              <w:jc w:val="center"/>
              <w:rPr>
                <w:rFonts w:hint="eastAsia" w:ascii="宋体" w:hAnsi="宋体" w:eastAsia="宋体" w:cs="宋体"/>
                <w:color w:val="auto"/>
                <w:sz w:val="24"/>
                <w:szCs w:val="24"/>
              </w:rPr>
            </w:pPr>
          </w:p>
        </w:tc>
        <w:tc>
          <w:tcPr>
            <w:tcW w:w="1200" w:type="dxa"/>
            <w:vMerge w:val="continue"/>
            <w:vAlign w:val="center"/>
          </w:tcPr>
          <w:p w14:paraId="3B2A32BF">
            <w:pPr>
              <w:spacing w:line="360" w:lineRule="auto"/>
              <w:jc w:val="center"/>
              <w:rPr>
                <w:rFonts w:hint="eastAsia" w:ascii="宋体" w:hAnsi="宋体" w:eastAsia="宋体" w:cs="宋体"/>
                <w:color w:val="auto"/>
                <w:sz w:val="24"/>
                <w:szCs w:val="24"/>
              </w:rPr>
            </w:pPr>
          </w:p>
        </w:tc>
        <w:tc>
          <w:tcPr>
            <w:tcW w:w="6047" w:type="dxa"/>
            <w:vAlign w:val="center"/>
          </w:tcPr>
          <w:p w14:paraId="1645F775">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▲5、接近角/离去角≤9°/9°</w:t>
            </w:r>
          </w:p>
          <w:p w14:paraId="0572A956">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以上参数须提供汽车产品参数信息公告页等证明材料。</w:t>
            </w:r>
          </w:p>
        </w:tc>
        <w:tc>
          <w:tcPr>
            <w:tcW w:w="914" w:type="dxa"/>
            <w:vAlign w:val="center"/>
          </w:tcPr>
          <w:p w14:paraId="6CB753D2">
            <w:pPr>
              <w:spacing w:line="360" w:lineRule="auto"/>
              <w:ind w:left="0" w:leftChars="0" w:right="0" w:rightChars="0"/>
              <w:rPr>
                <w:rFonts w:hint="eastAsia" w:ascii="宋体" w:hAnsi="宋体" w:eastAsia="宋体" w:cs="宋体"/>
                <w:color w:val="auto"/>
                <w:sz w:val="24"/>
                <w:szCs w:val="24"/>
              </w:rPr>
            </w:pPr>
            <w:r>
              <w:rPr>
                <w:rFonts w:hint="eastAsia" w:ascii="宋体" w:hAnsi="宋体" w:eastAsia="宋体" w:cs="宋体"/>
                <w:b w:val="0"/>
                <w:bCs/>
                <w:color w:val="auto"/>
                <w:sz w:val="24"/>
                <w:szCs w:val="24"/>
                <w:lang w:val="en-US" w:eastAsia="zh-CN"/>
              </w:rPr>
              <w:t>项号6</w:t>
            </w:r>
          </w:p>
        </w:tc>
      </w:tr>
      <w:tr w14:paraId="50B09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50A8DDFE">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918" w:type="dxa"/>
            <w:vMerge w:val="restart"/>
            <w:vAlign w:val="center"/>
          </w:tcPr>
          <w:p w14:paraId="06A0D0E6">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新能源</w:t>
            </w:r>
          </w:p>
          <w:p w14:paraId="074236A7">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部分</w:t>
            </w:r>
          </w:p>
        </w:tc>
        <w:tc>
          <w:tcPr>
            <w:tcW w:w="1200" w:type="dxa"/>
            <w:vAlign w:val="center"/>
          </w:tcPr>
          <w:p w14:paraId="22AB1A9F">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电池品牌</w:t>
            </w:r>
          </w:p>
        </w:tc>
        <w:tc>
          <w:tcPr>
            <w:tcW w:w="6047" w:type="dxa"/>
            <w:vAlign w:val="center"/>
          </w:tcPr>
          <w:p w14:paraId="0FAB6918">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▲选用可靠的磷酸铁锂液冷动力电池组，</w:t>
            </w:r>
            <w:r>
              <w:rPr>
                <w:rFonts w:hint="eastAsia" w:ascii="宋体" w:hAnsi="宋体" w:eastAsia="宋体" w:cs="宋体"/>
                <w:color w:val="auto"/>
                <w:sz w:val="24"/>
                <w:szCs w:val="24"/>
                <w:lang w:val="en-US" w:eastAsia="zh-CN"/>
              </w:rPr>
              <w:t>电池与BMS系统为同一生产企业</w:t>
            </w:r>
            <w:r>
              <w:rPr>
                <w:rFonts w:hint="eastAsia" w:ascii="宋体" w:hAnsi="宋体" w:eastAsia="宋体" w:cs="宋体"/>
                <w:color w:val="auto"/>
                <w:sz w:val="24"/>
                <w:szCs w:val="24"/>
              </w:rPr>
              <w:t>；电池组质保10年，车辆质保期内续航里程和电池容量衰减应＜30%，超过30%的由客车厂家无条件免费更换同品牌全新动力电池箱。动力电池具有良好的防火及散热性能，防止出现高温现象，并保证良好的高低温工作性能，不得出现夏季高温影响车辆运行，具有夏季良好的散热功能，在夏季可保证动力电池正常工作。</w:t>
            </w:r>
          </w:p>
        </w:tc>
        <w:tc>
          <w:tcPr>
            <w:tcW w:w="914" w:type="dxa"/>
            <w:vAlign w:val="center"/>
          </w:tcPr>
          <w:p w14:paraId="5EF013D8">
            <w:pPr>
              <w:spacing w:line="360" w:lineRule="auto"/>
              <w:rPr>
                <w:rFonts w:hint="eastAsia" w:ascii="宋体" w:hAnsi="宋体" w:eastAsia="宋体" w:cs="宋体"/>
                <w:color w:val="auto"/>
                <w:sz w:val="24"/>
                <w:szCs w:val="24"/>
              </w:rPr>
            </w:pPr>
            <w:r>
              <w:rPr>
                <w:rFonts w:hint="eastAsia" w:ascii="宋体" w:hAnsi="宋体" w:eastAsia="宋体" w:cs="宋体"/>
                <w:b w:val="0"/>
                <w:bCs/>
                <w:color w:val="auto"/>
                <w:sz w:val="24"/>
                <w:szCs w:val="24"/>
                <w:lang w:val="en-US" w:eastAsia="zh-CN"/>
              </w:rPr>
              <w:t>项号7</w:t>
            </w:r>
          </w:p>
        </w:tc>
      </w:tr>
      <w:tr w14:paraId="7AC63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1A016CFE">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918" w:type="dxa"/>
            <w:vMerge w:val="continue"/>
            <w:vAlign w:val="center"/>
          </w:tcPr>
          <w:p w14:paraId="2224BA65">
            <w:pPr>
              <w:spacing w:line="360" w:lineRule="auto"/>
              <w:jc w:val="center"/>
              <w:rPr>
                <w:rFonts w:hint="eastAsia" w:ascii="宋体" w:hAnsi="宋体" w:eastAsia="宋体" w:cs="宋体"/>
                <w:color w:val="auto"/>
                <w:sz w:val="24"/>
                <w:szCs w:val="24"/>
              </w:rPr>
            </w:pPr>
          </w:p>
        </w:tc>
        <w:tc>
          <w:tcPr>
            <w:tcW w:w="1200" w:type="dxa"/>
            <w:vAlign w:val="center"/>
          </w:tcPr>
          <w:p w14:paraId="4E2F5F31">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电池容量及能量密度</w:t>
            </w:r>
          </w:p>
        </w:tc>
        <w:tc>
          <w:tcPr>
            <w:tcW w:w="6047" w:type="dxa"/>
            <w:vAlign w:val="center"/>
          </w:tcPr>
          <w:p w14:paraId="427A1DFF">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电池容量≥250kwh，电池能量密度≥160wh/kg。</w:t>
            </w:r>
          </w:p>
        </w:tc>
        <w:tc>
          <w:tcPr>
            <w:tcW w:w="914" w:type="dxa"/>
            <w:vAlign w:val="center"/>
          </w:tcPr>
          <w:p w14:paraId="0BC7B79D">
            <w:pPr>
              <w:spacing w:line="360" w:lineRule="auto"/>
              <w:rPr>
                <w:rFonts w:hint="eastAsia" w:ascii="宋体" w:hAnsi="宋体" w:eastAsia="宋体" w:cs="宋体"/>
                <w:color w:val="auto"/>
                <w:sz w:val="24"/>
                <w:szCs w:val="24"/>
              </w:rPr>
            </w:pPr>
            <w:r>
              <w:rPr>
                <w:rFonts w:hint="eastAsia" w:ascii="宋体" w:hAnsi="宋体" w:eastAsia="宋体" w:cs="宋体"/>
                <w:b w:val="0"/>
                <w:bCs/>
                <w:color w:val="auto"/>
                <w:sz w:val="24"/>
                <w:szCs w:val="24"/>
                <w:lang w:val="en-US" w:eastAsia="zh-CN"/>
              </w:rPr>
              <w:t>项号8</w:t>
            </w:r>
          </w:p>
        </w:tc>
      </w:tr>
      <w:tr w14:paraId="7C3AC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01B12753">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5</w:t>
            </w:r>
          </w:p>
        </w:tc>
        <w:tc>
          <w:tcPr>
            <w:tcW w:w="918" w:type="dxa"/>
            <w:vMerge w:val="continue"/>
            <w:vAlign w:val="center"/>
          </w:tcPr>
          <w:p w14:paraId="1A5DEE49">
            <w:pPr>
              <w:spacing w:line="360" w:lineRule="auto"/>
              <w:jc w:val="center"/>
              <w:rPr>
                <w:rFonts w:hint="eastAsia" w:ascii="宋体" w:hAnsi="宋体" w:eastAsia="宋体" w:cs="宋体"/>
                <w:color w:val="auto"/>
                <w:sz w:val="24"/>
                <w:szCs w:val="24"/>
              </w:rPr>
            </w:pPr>
          </w:p>
        </w:tc>
        <w:tc>
          <w:tcPr>
            <w:tcW w:w="1200" w:type="dxa"/>
            <w:vAlign w:val="center"/>
          </w:tcPr>
          <w:p w14:paraId="48BE787E">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电池箱体防护等级</w:t>
            </w:r>
          </w:p>
        </w:tc>
        <w:tc>
          <w:tcPr>
            <w:tcW w:w="6047" w:type="dxa"/>
            <w:vAlign w:val="center"/>
          </w:tcPr>
          <w:p w14:paraId="06A19133">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IP68以上的防护等级，保证车辆的涉水和防尘安全。</w:t>
            </w:r>
          </w:p>
        </w:tc>
        <w:tc>
          <w:tcPr>
            <w:tcW w:w="914" w:type="dxa"/>
            <w:vAlign w:val="center"/>
          </w:tcPr>
          <w:p w14:paraId="25C71599">
            <w:pPr>
              <w:spacing w:line="360" w:lineRule="auto"/>
              <w:rPr>
                <w:rFonts w:hint="eastAsia" w:ascii="宋体" w:hAnsi="宋体" w:eastAsia="宋体" w:cs="宋体"/>
                <w:color w:val="auto"/>
                <w:sz w:val="24"/>
                <w:szCs w:val="24"/>
              </w:rPr>
            </w:pPr>
            <w:r>
              <w:rPr>
                <w:rFonts w:hint="eastAsia" w:ascii="宋体" w:hAnsi="宋体" w:eastAsia="宋体" w:cs="宋体"/>
                <w:b w:val="0"/>
                <w:bCs/>
                <w:color w:val="auto"/>
                <w:sz w:val="24"/>
                <w:szCs w:val="24"/>
                <w:lang w:val="en-US" w:eastAsia="zh-CN"/>
              </w:rPr>
              <w:t>项号9</w:t>
            </w:r>
          </w:p>
        </w:tc>
      </w:tr>
      <w:tr w14:paraId="679D0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10CB3631">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6</w:t>
            </w:r>
          </w:p>
        </w:tc>
        <w:tc>
          <w:tcPr>
            <w:tcW w:w="918" w:type="dxa"/>
            <w:vMerge w:val="continue"/>
            <w:vAlign w:val="center"/>
          </w:tcPr>
          <w:p w14:paraId="2269DDEC">
            <w:pPr>
              <w:spacing w:line="360" w:lineRule="auto"/>
              <w:jc w:val="center"/>
              <w:rPr>
                <w:rFonts w:hint="eastAsia" w:ascii="宋体" w:hAnsi="宋体" w:eastAsia="宋体" w:cs="宋体"/>
                <w:color w:val="auto"/>
                <w:sz w:val="24"/>
                <w:szCs w:val="24"/>
              </w:rPr>
            </w:pPr>
          </w:p>
        </w:tc>
        <w:tc>
          <w:tcPr>
            <w:tcW w:w="1200" w:type="dxa"/>
            <w:vAlign w:val="center"/>
          </w:tcPr>
          <w:p w14:paraId="16B819B1">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电池箱灭火装置</w:t>
            </w:r>
          </w:p>
        </w:tc>
        <w:tc>
          <w:tcPr>
            <w:tcW w:w="6047" w:type="dxa"/>
            <w:vAlign w:val="center"/>
          </w:tcPr>
          <w:p w14:paraId="65431084">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有</w:t>
            </w:r>
          </w:p>
        </w:tc>
        <w:tc>
          <w:tcPr>
            <w:tcW w:w="914" w:type="dxa"/>
            <w:vAlign w:val="center"/>
          </w:tcPr>
          <w:p w14:paraId="0212A501">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项号10</w:t>
            </w:r>
          </w:p>
        </w:tc>
      </w:tr>
      <w:tr w14:paraId="32630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Merge w:val="restart"/>
            <w:vAlign w:val="center"/>
          </w:tcPr>
          <w:p w14:paraId="6B4C7A4C">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7</w:t>
            </w:r>
          </w:p>
        </w:tc>
        <w:tc>
          <w:tcPr>
            <w:tcW w:w="918" w:type="dxa"/>
            <w:vMerge w:val="continue"/>
            <w:vAlign w:val="center"/>
          </w:tcPr>
          <w:p w14:paraId="6457E138">
            <w:pPr>
              <w:spacing w:line="360" w:lineRule="auto"/>
              <w:jc w:val="center"/>
              <w:rPr>
                <w:rFonts w:hint="eastAsia" w:ascii="宋体" w:hAnsi="宋体" w:eastAsia="宋体" w:cs="宋体"/>
                <w:color w:val="auto"/>
                <w:sz w:val="24"/>
                <w:szCs w:val="24"/>
              </w:rPr>
            </w:pPr>
          </w:p>
        </w:tc>
        <w:tc>
          <w:tcPr>
            <w:tcW w:w="1200" w:type="dxa"/>
            <w:vMerge w:val="restart"/>
            <w:vAlign w:val="center"/>
          </w:tcPr>
          <w:p w14:paraId="4A439CF0">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驱动电机</w:t>
            </w:r>
          </w:p>
        </w:tc>
        <w:tc>
          <w:tcPr>
            <w:tcW w:w="6047" w:type="dxa"/>
            <w:vAlign w:val="center"/>
          </w:tcPr>
          <w:p w14:paraId="34C9AE9B">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▲1、配永磁同步水冷电机。电机额定功率≥136kw，峰值功率≥240kw，外壳防护等级≥IP68，驱动电机功率须满足道路运输要求，能够在车辆满载、爬坡等工况下提供充足动力。</w:t>
            </w:r>
          </w:p>
        </w:tc>
        <w:tc>
          <w:tcPr>
            <w:tcW w:w="914" w:type="dxa"/>
            <w:vAlign w:val="center"/>
          </w:tcPr>
          <w:p w14:paraId="01B9D07D">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项号11</w:t>
            </w:r>
          </w:p>
        </w:tc>
      </w:tr>
      <w:tr w14:paraId="1E66F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Merge w:val="continue"/>
            <w:vAlign w:val="center"/>
          </w:tcPr>
          <w:p w14:paraId="26D35702">
            <w:pPr>
              <w:spacing w:line="360" w:lineRule="auto"/>
              <w:jc w:val="center"/>
              <w:rPr>
                <w:rFonts w:hint="eastAsia" w:ascii="宋体" w:hAnsi="宋体" w:eastAsia="宋体" w:cs="宋体"/>
                <w:color w:val="auto"/>
                <w:sz w:val="24"/>
                <w:szCs w:val="24"/>
              </w:rPr>
            </w:pPr>
          </w:p>
        </w:tc>
        <w:tc>
          <w:tcPr>
            <w:tcW w:w="918" w:type="dxa"/>
            <w:vMerge w:val="continue"/>
            <w:vAlign w:val="center"/>
          </w:tcPr>
          <w:p w14:paraId="6FAF4AE0">
            <w:pPr>
              <w:spacing w:line="360" w:lineRule="auto"/>
              <w:jc w:val="center"/>
              <w:rPr>
                <w:rFonts w:hint="eastAsia" w:ascii="宋体" w:hAnsi="宋体" w:eastAsia="宋体" w:cs="宋体"/>
                <w:color w:val="auto"/>
                <w:sz w:val="24"/>
                <w:szCs w:val="24"/>
              </w:rPr>
            </w:pPr>
          </w:p>
        </w:tc>
        <w:tc>
          <w:tcPr>
            <w:tcW w:w="1200" w:type="dxa"/>
            <w:vMerge w:val="continue"/>
            <w:vAlign w:val="center"/>
          </w:tcPr>
          <w:p w14:paraId="79FDA2B4">
            <w:pPr>
              <w:spacing w:line="360" w:lineRule="auto"/>
              <w:jc w:val="center"/>
              <w:rPr>
                <w:rFonts w:hint="eastAsia" w:ascii="宋体" w:hAnsi="宋体" w:eastAsia="宋体" w:cs="宋体"/>
                <w:color w:val="auto"/>
                <w:sz w:val="24"/>
                <w:szCs w:val="24"/>
              </w:rPr>
            </w:pPr>
          </w:p>
        </w:tc>
        <w:tc>
          <w:tcPr>
            <w:tcW w:w="6047" w:type="dxa"/>
            <w:vAlign w:val="center"/>
          </w:tcPr>
          <w:p w14:paraId="41CF6902">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2、选用轻量化和体积小的驱动电机，并兼顾电机维保的方便性。驱动电机有较强的耐温和耐潮湿性能，运行时噪音低，能够在较恶劣的环境下长时间工作，并且不会对电机功率产生较大影响。</w:t>
            </w:r>
          </w:p>
        </w:tc>
        <w:tc>
          <w:tcPr>
            <w:tcW w:w="914" w:type="dxa"/>
            <w:vAlign w:val="center"/>
          </w:tcPr>
          <w:p w14:paraId="46D979E5">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项号12</w:t>
            </w:r>
          </w:p>
        </w:tc>
      </w:tr>
      <w:tr w14:paraId="3C65E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2B9F7353">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8</w:t>
            </w:r>
          </w:p>
        </w:tc>
        <w:tc>
          <w:tcPr>
            <w:tcW w:w="918" w:type="dxa"/>
            <w:vMerge w:val="continue"/>
            <w:vAlign w:val="center"/>
          </w:tcPr>
          <w:p w14:paraId="29A6C08A">
            <w:pPr>
              <w:spacing w:line="360" w:lineRule="auto"/>
              <w:jc w:val="center"/>
              <w:rPr>
                <w:rFonts w:hint="eastAsia" w:ascii="宋体" w:hAnsi="宋体" w:eastAsia="宋体" w:cs="宋体"/>
                <w:color w:val="auto"/>
                <w:sz w:val="24"/>
                <w:szCs w:val="24"/>
              </w:rPr>
            </w:pPr>
          </w:p>
        </w:tc>
        <w:tc>
          <w:tcPr>
            <w:tcW w:w="1200" w:type="dxa"/>
            <w:vAlign w:val="center"/>
          </w:tcPr>
          <w:p w14:paraId="0B0CA83D">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热管理系统</w:t>
            </w:r>
          </w:p>
        </w:tc>
        <w:tc>
          <w:tcPr>
            <w:tcW w:w="6047" w:type="dxa"/>
            <w:vAlign w:val="center"/>
          </w:tcPr>
          <w:p w14:paraId="2666DC92">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带电子风扇</w:t>
            </w:r>
          </w:p>
        </w:tc>
        <w:tc>
          <w:tcPr>
            <w:tcW w:w="914" w:type="dxa"/>
            <w:vAlign w:val="center"/>
          </w:tcPr>
          <w:p w14:paraId="4E3F0635">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项号13</w:t>
            </w:r>
          </w:p>
        </w:tc>
      </w:tr>
      <w:tr w14:paraId="0CBF9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6A46FF6C">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9</w:t>
            </w:r>
          </w:p>
        </w:tc>
        <w:tc>
          <w:tcPr>
            <w:tcW w:w="918" w:type="dxa"/>
            <w:vMerge w:val="continue"/>
            <w:vAlign w:val="center"/>
          </w:tcPr>
          <w:p w14:paraId="461994A5">
            <w:pPr>
              <w:spacing w:line="360" w:lineRule="auto"/>
              <w:jc w:val="center"/>
              <w:rPr>
                <w:rFonts w:hint="eastAsia" w:ascii="宋体" w:hAnsi="宋体" w:eastAsia="宋体" w:cs="宋体"/>
                <w:color w:val="auto"/>
                <w:sz w:val="24"/>
                <w:szCs w:val="24"/>
              </w:rPr>
            </w:pPr>
          </w:p>
        </w:tc>
        <w:tc>
          <w:tcPr>
            <w:tcW w:w="1200" w:type="dxa"/>
            <w:vAlign w:val="center"/>
          </w:tcPr>
          <w:p w14:paraId="0BC1EEC2">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整车高压</w:t>
            </w:r>
          </w:p>
          <w:p w14:paraId="06265D16">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部件控制器</w:t>
            </w:r>
          </w:p>
        </w:tc>
        <w:tc>
          <w:tcPr>
            <w:tcW w:w="6047" w:type="dxa"/>
            <w:vAlign w:val="center"/>
          </w:tcPr>
          <w:p w14:paraId="0D6932E2">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高压零部件采用优质控制器，要求控制器高度集成，尽量减少高压连接点，确保高压连接的安全性与可靠性，减少故障率，保证车辆安全。</w:t>
            </w:r>
          </w:p>
        </w:tc>
        <w:tc>
          <w:tcPr>
            <w:tcW w:w="914" w:type="dxa"/>
            <w:vAlign w:val="center"/>
          </w:tcPr>
          <w:p w14:paraId="69B29BDD">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项号14</w:t>
            </w:r>
          </w:p>
        </w:tc>
      </w:tr>
      <w:tr w14:paraId="213D0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0CD0E5FD">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10</w:t>
            </w:r>
          </w:p>
        </w:tc>
        <w:tc>
          <w:tcPr>
            <w:tcW w:w="918" w:type="dxa"/>
            <w:vMerge w:val="restart"/>
            <w:vAlign w:val="center"/>
          </w:tcPr>
          <w:p w14:paraId="3E83F82D">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底盘部分</w:t>
            </w:r>
          </w:p>
        </w:tc>
        <w:tc>
          <w:tcPr>
            <w:tcW w:w="1200" w:type="dxa"/>
            <w:vAlign w:val="center"/>
          </w:tcPr>
          <w:p w14:paraId="1065E086">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前后桥</w:t>
            </w:r>
          </w:p>
        </w:tc>
        <w:tc>
          <w:tcPr>
            <w:tcW w:w="6047" w:type="dxa"/>
            <w:vAlign w:val="center"/>
          </w:tcPr>
          <w:p w14:paraId="7C607A36">
            <w:pPr>
              <w:spacing w:line="360" w:lineRule="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▲前桥≥</w:t>
            </w: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rPr>
              <w:t>.5T、后桥≥11</w:t>
            </w: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T，前后均为盘式制动，后桥速比须满足道路运输要求</w:t>
            </w:r>
            <w:r>
              <w:rPr>
                <w:rFonts w:hint="eastAsia" w:ascii="宋体" w:hAnsi="宋体" w:eastAsia="宋体" w:cs="宋体"/>
                <w:b w:val="0"/>
                <w:bCs/>
                <w:color w:val="auto"/>
                <w:sz w:val="24"/>
                <w:szCs w:val="24"/>
                <w:lang w:val="en-US" w:eastAsia="zh-CN"/>
              </w:rPr>
              <w:t>。</w:t>
            </w:r>
          </w:p>
        </w:tc>
        <w:tc>
          <w:tcPr>
            <w:tcW w:w="914" w:type="dxa"/>
            <w:vAlign w:val="center"/>
          </w:tcPr>
          <w:p w14:paraId="00B7954F">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项号15</w:t>
            </w:r>
          </w:p>
        </w:tc>
      </w:tr>
      <w:tr w14:paraId="4EEED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3D5721BA">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11</w:t>
            </w:r>
          </w:p>
        </w:tc>
        <w:tc>
          <w:tcPr>
            <w:tcW w:w="918" w:type="dxa"/>
            <w:vMerge w:val="continue"/>
            <w:vAlign w:val="center"/>
          </w:tcPr>
          <w:p w14:paraId="59235B9E">
            <w:pPr>
              <w:spacing w:line="360" w:lineRule="auto"/>
              <w:jc w:val="center"/>
              <w:rPr>
                <w:rFonts w:hint="eastAsia" w:ascii="宋体" w:hAnsi="宋体" w:eastAsia="宋体" w:cs="宋体"/>
                <w:color w:val="auto"/>
                <w:sz w:val="24"/>
                <w:szCs w:val="24"/>
              </w:rPr>
            </w:pPr>
          </w:p>
        </w:tc>
        <w:tc>
          <w:tcPr>
            <w:tcW w:w="1200" w:type="dxa"/>
            <w:vAlign w:val="center"/>
          </w:tcPr>
          <w:p w14:paraId="08EE4D7F">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悬挂系统</w:t>
            </w:r>
          </w:p>
        </w:tc>
        <w:tc>
          <w:tcPr>
            <w:tcW w:w="6047" w:type="dxa"/>
            <w:vAlign w:val="center"/>
          </w:tcPr>
          <w:p w14:paraId="27C40DCA">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六气囊空气悬挂</w:t>
            </w:r>
          </w:p>
        </w:tc>
        <w:tc>
          <w:tcPr>
            <w:tcW w:w="914" w:type="dxa"/>
            <w:vAlign w:val="center"/>
          </w:tcPr>
          <w:p w14:paraId="66831970">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项号16</w:t>
            </w:r>
          </w:p>
        </w:tc>
      </w:tr>
      <w:tr w14:paraId="342B9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4C834A39">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12</w:t>
            </w:r>
          </w:p>
        </w:tc>
        <w:tc>
          <w:tcPr>
            <w:tcW w:w="918" w:type="dxa"/>
            <w:vMerge w:val="continue"/>
            <w:vAlign w:val="center"/>
          </w:tcPr>
          <w:p w14:paraId="39BE1BE2">
            <w:pPr>
              <w:spacing w:line="360" w:lineRule="auto"/>
              <w:jc w:val="center"/>
              <w:rPr>
                <w:rFonts w:hint="eastAsia" w:ascii="宋体" w:hAnsi="宋体" w:eastAsia="宋体" w:cs="宋体"/>
                <w:color w:val="auto"/>
                <w:sz w:val="24"/>
                <w:szCs w:val="24"/>
              </w:rPr>
            </w:pPr>
          </w:p>
        </w:tc>
        <w:tc>
          <w:tcPr>
            <w:tcW w:w="1200" w:type="dxa"/>
            <w:vAlign w:val="center"/>
          </w:tcPr>
          <w:p w14:paraId="1FCEB9F1">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转向器</w:t>
            </w:r>
          </w:p>
        </w:tc>
        <w:tc>
          <w:tcPr>
            <w:tcW w:w="6047" w:type="dxa"/>
            <w:vAlign w:val="center"/>
          </w:tcPr>
          <w:p w14:paraId="47BA745F">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电控液压助力</w:t>
            </w:r>
            <w:r>
              <w:rPr>
                <w:rFonts w:hint="eastAsia" w:ascii="宋体" w:hAnsi="宋体" w:eastAsia="宋体" w:cs="宋体"/>
                <w:b w:val="0"/>
                <w:bCs/>
                <w:color w:val="auto"/>
                <w:sz w:val="24"/>
                <w:szCs w:val="24"/>
                <w:lang w:val="en-US" w:eastAsia="zh-CN"/>
              </w:rPr>
              <w:t>。</w:t>
            </w:r>
          </w:p>
        </w:tc>
        <w:tc>
          <w:tcPr>
            <w:tcW w:w="914" w:type="dxa"/>
            <w:vAlign w:val="center"/>
          </w:tcPr>
          <w:p w14:paraId="5DA9E4EC">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项号17</w:t>
            </w:r>
          </w:p>
        </w:tc>
      </w:tr>
      <w:tr w14:paraId="4D564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799F306E">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13</w:t>
            </w:r>
          </w:p>
        </w:tc>
        <w:tc>
          <w:tcPr>
            <w:tcW w:w="918" w:type="dxa"/>
            <w:vMerge w:val="continue"/>
            <w:vAlign w:val="center"/>
          </w:tcPr>
          <w:p w14:paraId="2DB6B35E">
            <w:pPr>
              <w:spacing w:line="360" w:lineRule="auto"/>
              <w:jc w:val="center"/>
              <w:rPr>
                <w:rFonts w:hint="eastAsia" w:ascii="宋体" w:hAnsi="宋体" w:eastAsia="宋体" w:cs="宋体"/>
                <w:color w:val="auto"/>
                <w:sz w:val="24"/>
                <w:szCs w:val="24"/>
              </w:rPr>
            </w:pPr>
          </w:p>
        </w:tc>
        <w:tc>
          <w:tcPr>
            <w:tcW w:w="1200" w:type="dxa"/>
            <w:vAlign w:val="center"/>
          </w:tcPr>
          <w:p w14:paraId="598397AB">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驻车制动</w:t>
            </w:r>
          </w:p>
        </w:tc>
        <w:tc>
          <w:tcPr>
            <w:tcW w:w="6047" w:type="dxa"/>
            <w:vAlign w:val="center"/>
          </w:tcPr>
          <w:p w14:paraId="57B5F5FE">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储能弹簧驻车制动</w:t>
            </w:r>
          </w:p>
        </w:tc>
        <w:tc>
          <w:tcPr>
            <w:tcW w:w="914" w:type="dxa"/>
            <w:vAlign w:val="center"/>
          </w:tcPr>
          <w:p w14:paraId="7CA8450D">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项号18</w:t>
            </w:r>
          </w:p>
        </w:tc>
      </w:tr>
      <w:tr w14:paraId="4B97B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79B9613B">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14</w:t>
            </w:r>
          </w:p>
        </w:tc>
        <w:tc>
          <w:tcPr>
            <w:tcW w:w="918" w:type="dxa"/>
            <w:vMerge w:val="continue"/>
            <w:vAlign w:val="center"/>
          </w:tcPr>
          <w:p w14:paraId="2EC19865">
            <w:pPr>
              <w:spacing w:line="360" w:lineRule="auto"/>
              <w:jc w:val="center"/>
              <w:rPr>
                <w:rFonts w:hint="eastAsia" w:ascii="宋体" w:hAnsi="宋体" w:eastAsia="宋体" w:cs="宋体"/>
                <w:color w:val="auto"/>
                <w:sz w:val="24"/>
                <w:szCs w:val="24"/>
              </w:rPr>
            </w:pPr>
          </w:p>
        </w:tc>
        <w:tc>
          <w:tcPr>
            <w:tcW w:w="1200" w:type="dxa"/>
            <w:vAlign w:val="center"/>
          </w:tcPr>
          <w:p w14:paraId="44F5BC2E">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电控制动系统</w:t>
            </w:r>
          </w:p>
        </w:tc>
        <w:tc>
          <w:tcPr>
            <w:tcW w:w="6047" w:type="dxa"/>
            <w:vAlign w:val="center"/>
          </w:tcPr>
          <w:p w14:paraId="7F20E97C">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EBS+ESC</w:t>
            </w:r>
          </w:p>
        </w:tc>
        <w:tc>
          <w:tcPr>
            <w:tcW w:w="914" w:type="dxa"/>
            <w:vAlign w:val="center"/>
          </w:tcPr>
          <w:p w14:paraId="1479F278">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项号19</w:t>
            </w:r>
          </w:p>
        </w:tc>
      </w:tr>
      <w:tr w14:paraId="7FA2F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1A8202B2">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15</w:t>
            </w:r>
          </w:p>
        </w:tc>
        <w:tc>
          <w:tcPr>
            <w:tcW w:w="918" w:type="dxa"/>
            <w:vMerge w:val="continue"/>
            <w:vAlign w:val="center"/>
          </w:tcPr>
          <w:p w14:paraId="720D1B8A">
            <w:pPr>
              <w:spacing w:line="360" w:lineRule="auto"/>
              <w:jc w:val="center"/>
              <w:rPr>
                <w:rFonts w:hint="eastAsia" w:ascii="宋体" w:hAnsi="宋体" w:eastAsia="宋体" w:cs="宋体"/>
                <w:color w:val="auto"/>
                <w:sz w:val="24"/>
                <w:szCs w:val="24"/>
              </w:rPr>
            </w:pPr>
          </w:p>
        </w:tc>
        <w:tc>
          <w:tcPr>
            <w:tcW w:w="1200" w:type="dxa"/>
            <w:vAlign w:val="center"/>
          </w:tcPr>
          <w:p w14:paraId="11EEC679">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轮胎</w:t>
            </w:r>
          </w:p>
        </w:tc>
        <w:tc>
          <w:tcPr>
            <w:tcW w:w="6047" w:type="dxa"/>
            <w:vAlign w:val="center"/>
          </w:tcPr>
          <w:p w14:paraId="7B44DED8">
            <w:pPr>
              <w:spacing w:line="360" w:lineRule="auto"/>
              <w:rPr>
                <w:rFonts w:hint="eastAsia" w:ascii="宋体" w:hAnsi="宋体" w:eastAsia="宋体" w:cs="宋体"/>
                <w:b/>
                <w:color w:val="auto"/>
                <w:sz w:val="24"/>
                <w:szCs w:val="24"/>
              </w:rPr>
            </w:pPr>
            <w:r>
              <w:rPr>
                <w:rFonts w:hint="eastAsia" w:ascii="宋体" w:hAnsi="宋体" w:eastAsia="宋体" w:cs="宋体"/>
                <w:color w:val="auto"/>
                <w:sz w:val="24"/>
                <w:szCs w:val="24"/>
              </w:rPr>
              <w:t>▲</w:t>
            </w:r>
            <w:r>
              <w:rPr>
                <w:rFonts w:hint="eastAsia" w:ascii="宋体" w:hAnsi="宋体" w:eastAsia="宋体" w:cs="宋体"/>
                <w:b/>
                <w:color w:val="auto"/>
                <w:sz w:val="24"/>
                <w:szCs w:val="24"/>
              </w:rPr>
              <w:t>295/80R22.5真空胎</w:t>
            </w:r>
          </w:p>
        </w:tc>
        <w:tc>
          <w:tcPr>
            <w:tcW w:w="914" w:type="dxa"/>
            <w:vAlign w:val="center"/>
          </w:tcPr>
          <w:p w14:paraId="6CD4227C">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项号20</w:t>
            </w:r>
          </w:p>
        </w:tc>
      </w:tr>
      <w:tr w14:paraId="36A7D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5F2E8801">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16</w:t>
            </w:r>
          </w:p>
        </w:tc>
        <w:tc>
          <w:tcPr>
            <w:tcW w:w="918" w:type="dxa"/>
            <w:vMerge w:val="continue"/>
            <w:vAlign w:val="center"/>
          </w:tcPr>
          <w:p w14:paraId="6E168D7F">
            <w:pPr>
              <w:spacing w:line="360" w:lineRule="auto"/>
              <w:jc w:val="center"/>
              <w:rPr>
                <w:rFonts w:hint="eastAsia" w:ascii="宋体" w:hAnsi="宋体" w:eastAsia="宋体" w:cs="宋体"/>
                <w:color w:val="auto"/>
                <w:sz w:val="24"/>
                <w:szCs w:val="24"/>
              </w:rPr>
            </w:pPr>
          </w:p>
        </w:tc>
        <w:tc>
          <w:tcPr>
            <w:tcW w:w="1200" w:type="dxa"/>
            <w:vAlign w:val="center"/>
          </w:tcPr>
          <w:p w14:paraId="24C3035B">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胎压监测</w:t>
            </w:r>
          </w:p>
        </w:tc>
        <w:tc>
          <w:tcPr>
            <w:tcW w:w="6047" w:type="dxa"/>
            <w:vAlign w:val="center"/>
          </w:tcPr>
          <w:p w14:paraId="0B9B542D">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有胎压监测报警器</w:t>
            </w:r>
          </w:p>
        </w:tc>
        <w:tc>
          <w:tcPr>
            <w:tcW w:w="914" w:type="dxa"/>
            <w:vAlign w:val="center"/>
          </w:tcPr>
          <w:p w14:paraId="6C8BAC7F">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项号21</w:t>
            </w:r>
          </w:p>
        </w:tc>
      </w:tr>
      <w:tr w14:paraId="5388B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4327B901">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17</w:t>
            </w:r>
          </w:p>
        </w:tc>
        <w:tc>
          <w:tcPr>
            <w:tcW w:w="918" w:type="dxa"/>
            <w:vMerge w:val="continue"/>
            <w:vAlign w:val="center"/>
          </w:tcPr>
          <w:p w14:paraId="7080827C">
            <w:pPr>
              <w:spacing w:line="360" w:lineRule="auto"/>
              <w:jc w:val="center"/>
              <w:rPr>
                <w:rFonts w:hint="eastAsia" w:ascii="宋体" w:hAnsi="宋体" w:eastAsia="宋体" w:cs="宋体"/>
                <w:color w:val="auto"/>
                <w:sz w:val="24"/>
                <w:szCs w:val="24"/>
              </w:rPr>
            </w:pPr>
          </w:p>
        </w:tc>
        <w:tc>
          <w:tcPr>
            <w:tcW w:w="1200" w:type="dxa"/>
            <w:vAlign w:val="center"/>
          </w:tcPr>
          <w:p w14:paraId="3ADAB4BB">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打气泵</w:t>
            </w:r>
          </w:p>
        </w:tc>
        <w:tc>
          <w:tcPr>
            <w:tcW w:w="6047" w:type="dxa"/>
            <w:vAlign w:val="center"/>
          </w:tcPr>
          <w:p w14:paraId="08523A83">
            <w:pPr>
              <w:spacing w:line="360" w:lineRule="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电动打气泵</w:t>
            </w:r>
            <w:r>
              <w:rPr>
                <w:rFonts w:hint="eastAsia" w:ascii="宋体" w:hAnsi="宋体" w:eastAsia="宋体" w:cs="宋体"/>
                <w:color w:val="auto"/>
                <w:sz w:val="24"/>
                <w:szCs w:val="24"/>
                <w:lang w:eastAsia="zh-CN"/>
              </w:rPr>
              <w:t>，</w:t>
            </w:r>
            <w:r>
              <w:rPr>
                <w:rFonts w:hint="eastAsia" w:ascii="宋体" w:hAnsi="宋体" w:eastAsia="宋体" w:cs="宋体"/>
                <w:b w:val="0"/>
                <w:bCs/>
                <w:color w:val="auto"/>
                <w:sz w:val="24"/>
                <w:szCs w:val="24"/>
                <w:lang w:val="en-US" w:eastAsia="zh-CN"/>
              </w:rPr>
              <w:t xml:space="preserve"> </w:t>
            </w:r>
          </w:p>
        </w:tc>
        <w:tc>
          <w:tcPr>
            <w:tcW w:w="914" w:type="dxa"/>
            <w:vAlign w:val="center"/>
          </w:tcPr>
          <w:p w14:paraId="0A0BA7A9">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项号22</w:t>
            </w:r>
          </w:p>
        </w:tc>
      </w:tr>
      <w:tr w14:paraId="60EFA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9" w:hRule="atLeast"/>
          <w:jc w:val="center"/>
        </w:trPr>
        <w:tc>
          <w:tcPr>
            <w:tcW w:w="807" w:type="dxa"/>
            <w:vAlign w:val="center"/>
          </w:tcPr>
          <w:p w14:paraId="64361EF7">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18</w:t>
            </w:r>
          </w:p>
        </w:tc>
        <w:tc>
          <w:tcPr>
            <w:tcW w:w="918" w:type="dxa"/>
            <w:vMerge w:val="restart"/>
            <w:vAlign w:val="center"/>
          </w:tcPr>
          <w:p w14:paraId="13D6F983">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车身配置</w:t>
            </w:r>
          </w:p>
        </w:tc>
        <w:tc>
          <w:tcPr>
            <w:tcW w:w="1200" w:type="dxa"/>
            <w:vAlign w:val="center"/>
          </w:tcPr>
          <w:p w14:paraId="4499537E">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车身结构</w:t>
            </w:r>
          </w:p>
        </w:tc>
        <w:tc>
          <w:tcPr>
            <w:tcW w:w="6047" w:type="dxa"/>
            <w:vAlign w:val="center"/>
          </w:tcPr>
          <w:p w14:paraId="5971FABC">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承载式制造工艺</w:t>
            </w:r>
            <w:r>
              <w:rPr>
                <w:rFonts w:hint="eastAsia" w:ascii="宋体" w:hAnsi="宋体" w:eastAsia="宋体" w:cs="宋体"/>
                <w:color w:val="auto"/>
                <w:sz w:val="24"/>
                <w:szCs w:val="24"/>
              </w:rPr>
              <w:t>（须提供汽车产品参数信息公告页等证明材料），流线型外观设计、美观大方，整车采用高强度钢车身结构，整车阴极电泳工艺，保证八年不生锈、不断裂，前、后门踏步骨架加固，车顶空调维修通道骨架加固。</w:t>
            </w:r>
          </w:p>
        </w:tc>
        <w:tc>
          <w:tcPr>
            <w:tcW w:w="914" w:type="dxa"/>
            <w:vAlign w:val="center"/>
          </w:tcPr>
          <w:p w14:paraId="146253B4">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项号23</w:t>
            </w:r>
          </w:p>
        </w:tc>
      </w:tr>
      <w:tr w14:paraId="05560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0FD6E60E">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19</w:t>
            </w:r>
          </w:p>
        </w:tc>
        <w:tc>
          <w:tcPr>
            <w:tcW w:w="918" w:type="dxa"/>
            <w:vMerge w:val="continue"/>
            <w:vAlign w:val="center"/>
          </w:tcPr>
          <w:p w14:paraId="0519232C">
            <w:pPr>
              <w:spacing w:line="360" w:lineRule="auto"/>
              <w:jc w:val="center"/>
              <w:rPr>
                <w:rFonts w:hint="eastAsia" w:ascii="宋体" w:hAnsi="宋体" w:eastAsia="宋体" w:cs="宋体"/>
                <w:color w:val="auto"/>
                <w:sz w:val="24"/>
                <w:szCs w:val="24"/>
              </w:rPr>
            </w:pPr>
          </w:p>
        </w:tc>
        <w:tc>
          <w:tcPr>
            <w:tcW w:w="1200" w:type="dxa"/>
            <w:vAlign w:val="center"/>
          </w:tcPr>
          <w:p w14:paraId="4D29EEF1">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座椅</w:t>
            </w:r>
          </w:p>
        </w:tc>
        <w:tc>
          <w:tcPr>
            <w:tcW w:w="6047" w:type="dxa"/>
            <w:vAlign w:val="center"/>
          </w:tcPr>
          <w:p w14:paraId="70EDD8BC">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1、乘客椅：≥47+1座，仿皮面料，靠背可调，可横移，带扶手，三点式安全带，有未佩戴提醒装置；</w:t>
            </w:r>
          </w:p>
          <w:p w14:paraId="7BC4AD95">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2、驾驶椅：仿皮面料，三点式</w:t>
            </w:r>
            <w:r>
              <w:rPr>
                <w:rFonts w:hint="eastAsia" w:ascii="宋体" w:hAnsi="宋体" w:eastAsia="宋体" w:cs="宋体"/>
                <w:color w:val="auto"/>
                <w:sz w:val="24"/>
                <w:szCs w:val="24"/>
                <w:lang w:val="en-US" w:eastAsia="zh-CN"/>
              </w:rPr>
              <w:t>气囊</w:t>
            </w:r>
            <w:r>
              <w:rPr>
                <w:rFonts w:hint="eastAsia" w:ascii="宋体" w:hAnsi="宋体" w:eastAsia="宋体" w:cs="宋体"/>
                <w:color w:val="auto"/>
                <w:sz w:val="24"/>
                <w:szCs w:val="24"/>
              </w:rPr>
              <w:t>减震驾驶椅，靠背前后可调，带扶手，三点式安全带，带离座报警。</w:t>
            </w:r>
          </w:p>
        </w:tc>
        <w:tc>
          <w:tcPr>
            <w:tcW w:w="914" w:type="dxa"/>
            <w:vAlign w:val="center"/>
          </w:tcPr>
          <w:p w14:paraId="62D4D046">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项号24</w:t>
            </w:r>
          </w:p>
        </w:tc>
      </w:tr>
      <w:tr w14:paraId="2F69D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096E7431">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20</w:t>
            </w:r>
          </w:p>
        </w:tc>
        <w:tc>
          <w:tcPr>
            <w:tcW w:w="918" w:type="dxa"/>
            <w:vMerge w:val="continue"/>
            <w:vAlign w:val="center"/>
          </w:tcPr>
          <w:p w14:paraId="2204880F">
            <w:pPr>
              <w:spacing w:line="360" w:lineRule="auto"/>
              <w:jc w:val="center"/>
              <w:rPr>
                <w:rFonts w:hint="eastAsia" w:ascii="宋体" w:hAnsi="宋体" w:eastAsia="宋体" w:cs="宋体"/>
                <w:color w:val="auto"/>
                <w:sz w:val="24"/>
                <w:szCs w:val="24"/>
              </w:rPr>
            </w:pPr>
          </w:p>
        </w:tc>
        <w:tc>
          <w:tcPr>
            <w:tcW w:w="1200" w:type="dxa"/>
            <w:vAlign w:val="center"/>
          </w:tcPr>
          <w:p w14:paraId="54C5D97A">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乘客门</w:t>
            </w:r>
          </w:p>
        </w:tc>
        <w:tc>
          <w:tcPr>
            <w:tcW w:w="6047" w:type="dxa"/>
            <w:vAlign w:val="center"/>
          </w:tcPr>
          <w:p w14:paraId="6F8FF6B0">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右侧前、中气动外摆门，带遥控门锁；</w:t>
            </w:r>
          </w:p>
        </w:tc>
        <w:tc>
          <w:tcPr>
            <w:tcW w:w="914" w:type="dxa"/>
            <w:vAlign w:val="center"/>
          </w:tcPr>
          <w:p w14:paraId="2B9E2D0D">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项号25</w:t>
            </w:r>
          </w:p>
        </w:tc>
      </w:tr>
      <w:tr w14:paraId="4E22A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51CC7C08">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21</w:t>
            </w:r>
          </w:p>
        </w:tc>
        <w:tc>
          <w:tcPr>
            <w:tcW w:w="918" w:type="dxa"/>
            <w:vMerge w:val="continue"/>
            <w:vAlign w:val="center"/>
          </w:tcPr>
          <w:p w14:paraId="04F5B4D4">
            <w:pPr>
              <w:spacing w:line="360" w:lineRule="auto"/>
              <w:jc w:val="center"/>
              <w:rPr>
                <w:rFonts w:hint="eastAsia" w:ascii="宋体" w:hAnsi="宋体" w:eastAsia="宋体" w:cs="宋体"/>
                <w:color w:val="auto"/>
                <w:sz w:val="24"/>
                <w:szCs w:val="24"/>
              </w:rPr>
            </w:pPr>
          </w:p>
        </w:tc>
        <w:tc>
          <w:tcPr>
            <w:tcW w:w="1200" w:type="dxa"/>
            <w:vAlign w:val="center"/>
          </w:tcPr>
          <w:p w14:paraId="458E07ED">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侧窗</w:t>
            </w:r>
          </w:p>
        </w:tc>
        <w:tc>
          <w:tcPr>
            <w:tcW w:w="6047" w:type="dxa"/>
            <w:vAlign w:val="center"/>
          </w:tcPr>
          <w:p w14:paraId="02DBC51B">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最后两侧为内置推拉窗，其余全封闭式侧窗；带2个外推式应急窗，后档带自动破窗器。</w:t>
            </w:r>
          </w:p>
        </w:tc>
        <w:tc>
          <w:tcPr>
            <w:tcW w:w="914" w:type="dxa"/>
            <w:vAlign w:val="center"/>
          </w:tcPr>
          <w:p w14:paraId="0135C0F8">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项号26</w:t>
            </w:r>
          </w:p>
        </w:tc>
      </w:tr>
      <w:tr w14:paraId="69031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67EDC58E">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22</w:t>
            </w:r>
          </w:p>
        </w:tc>
        <w:tc>
          <w:tcPr>
            <w:tcW w:w="918" w:type="dxa"/>
            <w:vMerge w:val="continue"/>
            <w:vAlign w:val="center"/>
          </w:tcPr>
          <w:p w14:paraId="0B0B8D05">
            <w:pPr>
              <w:spacing w:line="360" w:lineRule="auto"/>
              <w:jc w:val="center"/>
              <w:rPr>
                <w:rFonts w:hint="eastAsia" w:ascii="宋体" w:hAnsi="宋体" w:eastAsia="宋体" w:cs="宋体"/>
                <w:color w:val="auto"/>
                <w:sz w:val="24"/>
                <w:szCs w:val="24"/>
              </w:rPr>
            </w:pPr>
          </w:p>
        </w:tc>
        <w:tc>
          <w:tcPr>
            <w:tcW w:w="1200" w:type="dxa"/>
            <w:vAlign w:val="center"/>
          </w:tcPr>
          <w:p w14:paraId="386129F7">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天窗</w:t>
            </w:r>
          </w:p>
        </w:tc>
        <w:tc>
          <w:tcPr>
            <w:tcW w:w="6047" w:type="dxa"/>
            <w:vAlign w:val="center"/>
          </w:tcPr>
          <w:p w14:paraId="33D0E9BC">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天窗带换气扇</w:t>
            </w:r>
          </w:p>
        </w:tc>
        <w:tc>
          <w:tcPr>
            <w:tcW w:w="914" w:type="dxa"/>
            <w:vAlign w:val="center"/>
          </w:tcPr>
          <w:p w14:paraId="7BF42C91">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项号27</w:t>
            </w:r>
          </w:p>
        </w:tc>
      </w:tr>
      <w:tr w14:paraId="4D0D6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63533647">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23</w:t>
            </w:r>
          </w:p>
        </w:tc>
        <w:tc>
          <w:tcPr>
            <w:tcW w:w="918" w:type="dxa"/>
            <w:vMerge w:val="continue"/>
            <w:vAlign w:val="center"/>
          </w:tcPr>
          <w:p w14:paraId="74689935">
            <w:pPr>
              <w:spacing w:line="360" w:lineRule="auto"/>
              <w:jc w:val="center"/>
              <w:rPr>
                <w:rFonts w:hint="eastAsia" w:ascii="宋体" w:hAnsi="宋体" w:eastAsia="宋体" w:cs="宋体"/>
                <w:color w:val="auto"/>
                <w:sz w:val="24"/>
                <w:szCs w:val="24"/>
              </w:rPr>
            </w:pPr>
          </w:p>
        </w:tc>
        <w:tc>
          <w:tcPr>
            <w:tcW w:w="1200" w:type="dxa"/>
            <w:vAlign w:val="center"/>
          </w:tcPr>
          <w:p w14:paraId="2CC6A65B">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油漆</w:t>
            </w:r>
          </w:p>
        </w:tc>
        <w:tc>
          <w:tcPr>
            <w:tcW w:w="6047" w:type="dxa"/>
            <w:vAlign w:val="center"/>
          </w:tcPr>
          <w:p w14:paraId="3C1AEA81">
            <w:pPr>
              <w:spacing w:line="360" w:lineRule="auto"/>
              <w:rPr>
                <w:rFonts w:hint="eastAsia" w:ascii="宋体" w:hAnsi="宋体" w:eastAsia="宋体" w:cs="宋体"/>
                <w:color w:val="auto"/>
                <w:sz w:val="24"/>
                <w:szCs w:val="24"/>
              </w:rPr>
            </w:pPr>
            <w:r>
              <w:rPr>
                <w:rFonts w:hint="eastAsia" w:ascii="宋体" w:hAnsi="宋体"/>
                <w:sz w:val="24"/>
                <w:szCs w:val="24"/>
              </w:rPr>
              <w:t>前门后喷“严禁携带危险品上车”和“前门上车”， 最高限载人数；后门喷“后门下车”，驾驶室上方喷</w:t>
            </w:r>
            <w:r>
              <w:rPr>
                <w:rFonts w:hint="eastAsia" w:ascii="宋体" w:hAnsi="宋体"/>
                <w:color w:val="auto"/>
                <w:sz w:val="24"/>
                <w:szCs w:val="24"/>
              </w:rPr>
              <w:t>“严禁与驾驶员闲谈”，</w:t>
            </w:r>
            <w:r>
              <w:rPr>
                <w:rFonts w:hint="eastAsia" w:ascii="宋体" w:hAnsi="宋体"/>
                <w:sz w:val="24"/>
                <w:szCs w:val="24"/>
              </w:rPr>
              <w:t>后门对面的风道喷“严禁吸烟标志”</w:t>
            </w:r>
            <w:r>
              <w:rPr>
                <w:rFonts w:hint="eastAsia" w:ascii="宋体" w:hAnsi="宋体" w:eastAsia="宋体" w:cs="宋体"/>
                <w:b w:val="0"/>
                <w:bCs/>
                <w:color w:val="auto"/>
                <w:sz w:val="24"/>
                <w:szCs w:val="24"/>
                <w:lang w:eastAsia="zh-CN"/>
              </w:rPr>
              <w:t>驾驶室外车厢上喷圆弧形的</w:t>
            </w:r>
            <w:r>
              <w:rPr>
                <w:rFonts w:hint="eastAsia" w:ascii="宋体" w:hAnsi="宋体" w:eastAsia="宋体" w:cs="宋体"/>
                <w:b w:val="0"/>
                <w:bCs/>
                <w:color w:val="auto"/>
                <w:sz w:val="24"/>
                <w:szCs w:val="24"/>
                <w:lang w:val="en-US" w:eastAsia="zh-CN"/>
              </w:rPr>
              <w:t>企业</w:t>
            </w:r>
            <w:r>
              <w:rPr>
                <w:rFonts w:hint="eastAsia" w:ascii="宋体" w:hAnsi="宋体" w:eastAsia="宋体" w:cs="宋体"/>
                <w:b w:val="0"/>
                <w:bCs/>
                <w:color w:val="auto"/>
                <w:sz w:val="24"/>
                <w:szCs w:val="24"/>
                <w:lang w:eastAsia="zh-CN"/>
              </w:rPr>
              <w:t>全称</w:t>
            </w:r>
            <w:r>
              <w:rPr>
                <w:rFonts w:hint="eastAsia" w:ascii="宋体" w:hAnsi="宋体" w:eastAsia="宋体" w:cs="宋体"/>
                <w:b w:val="0"/>
                <w:bCs/>
                <w:color w:val="auto"/>
                <w:sz w:val="24"/>
                <w:szCs w:val="24"/>
                <w:lang w:val="en-US" w:eastAsia="zh-CN"/>
              </w:rPr>
              <w:t>等</w:t>
            </w:r>
            <w:r>
              <w:rPr>
                <w:rFonts w:hint="eastAsia" w:cs="宋体"/>
                <w:b w:val="0"/>
                <w:bCs/>
                <w:color w:val="auto"/>
                <w:sz w:val="24"/>
                <w:szCs w:val="24"/>
                <w:lang w:val="en-US" w:eastAsia="zh-CN"/>
              </w:rPr>
              <w:t>。车身：喷涂</w:t>
            </w:r>
            <w:r>
              <w:rPr>
                <w:rFonts w:hint="eastAsia" w:ascii="宋体" w:hAnsi="宋体" w:eastAsia="宋体" w:cs="宋体"/>
                <w:color w:val="auto"/>
                <w:sz w:val="24"/>
                <w:szCs w:val="24"/>
              </w:rPr>
              <w:t>金属漆，整车阴极电泳前处理</w:t>
            </w:r>
          </w:p>
        </w:tc>
        <w:tc>
          <w:tcPr>
            <w:tcW w:w="914" w:type="dxa"/>
            <w:vAlign w:val="center"/>
          </w:tcPr>
          <w:p w14:paraId="1A2A7BA0">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项号28</w:t>
            </w:r>
          </w:p>
        </w:tc>
      </w:tr>
      <w:tr w14:paraId="43306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4F73CB9B">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24</w:t>
            </w:r>
          </w:p>
        </w:tc>
        <w:tc>
          <w:tcPr>
            <w:tcW w:w="918" w:type="dxa"/>
            <w:vMerge w:val="continue"/>
            <w:vAlign w:val="center"/>
          </w:tcPr>
          <w:p w14:paraId="7B4A8FD4">
            <w:pPr>
              <w:spacing w:line="360" w:lineRule="auto"/>
              <w:jc w:val="center"/>
              <w:rPr>
                <w:rFonts w:hint="eastAsia" w:ascii="宋体" w:hAnsi="宋体" w:eastAsia="宋体" w:cs="宋体"/>
                <w:color w:val="auto"/>
                <w:sz w:val="24"/>
                <w:szCs w:val="24"/>
              </w:rPr>
            </w:pPr>
          </w:p>
        </w:tc>
        <w:tc>
          <w:tcPr>
            <w:tcW w:w="1200" w:type="dxa"/>
            <w:vAlign w:val="center"/>
          </w:tcPr>
          <w:p w14:paraId="56357B6B">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行李仓</w:t>
            </w:r>
          </w:p>
        </w:tc>
        <w:tc>
          <w:tcPr>
            <w:tcW w:w="6047" w:type="dxa"/>
            <w:vAlign w:val="center"/>
          </w:tcPr>
          <w:p w14:paraId="7ACEBA11">
            <w:pPr>
              <w:spacing w:line="360" w:lineRule="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贯通式行李仓，容积要求≥4.5m³；</w:t>
            </w:r>
            <w:r>
              <w:rPr>
                <w:rFonts w:hint="eastAsia" w:ascii="宋体" w:hAnsi="宋体" w:eastAsia="宋体" w:cs="宋体"/>
                <w:b w:val="0"/>
                <w:bCs/>
                <w:color w:val="auto"/>
                <w:sz w:val="24"/>
                <w:szCs w:val="24"/>
                <w:lang w:val="en-US" w:eastAsia="zh-CN"/>
              </w:rPr>
              <w:t>配装气动遥控</w:t>
            </w:r>
            <w:r>
              <w:rPr>
                <w:rFonts w:hint="eastAsia" w:ascii="宋体" w:hAnsi="宋体" w:eastAsia="宋体" w:cs="宋体"/>
                <w:color w:val="auto"/>
                <w:sz w:val="24"/>
                <w:szCs w:val="24"/>
                <w:lang w:val="en-US" w:eastAsia="zh-CN"/>
              </w:rPr>
              <w:t>平移</w:t>
            </w:r>
            <w:r>
              <w:rPr>
                <w:rFonts w:hint="eastAsia" w:ascii="宋体" w:hAnsi="宋体" w:eastAsia="宋体" w:cs="宋体"/>
                <w:color w:val="auto"/>
                <w:sz w:val="24"/>
                <w:szCs w:val="24"/>
              </w:rPr>
              <w:t>式铝合金仓门</w:t>
            </w:r>
            <w:r>
              <w:rPr>
                <w:rFonts w:hint="eastAsia" w:ascii="宋体" w:hAnsi="宋体" w:eastAsia="宋体" w:cs="宋体"/>
                <w:b w:val="0"/>
                <w:bCs/>
                <w:color w:val="auto"/>
                <w:sz w:val="24"/>
                <w:szCs w:val="24"/>
                <w:lang w:val="en-US" w:eastAsia="zh-CN"/>
              </w:rPr>
              <w:t>，方便取放行李。</w:t>
            </w:r>
          </w:p>
        </w:tc>
        <w:tc>
          <w:tcPr>
            <w:tcW w:w="914" w:type="dxa"/>
            <w:vAlign w:val="center"/>
          </w:tcPr>
          <w:p w14:paraId="3F063D6C">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项号29</w:t>
            </w:r>
          </w:p>
        </w:tc>
      </w:tr>
      <w:tr w14:paraId="7D2CA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56421876">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25</w:t>
            </w:r>
          </w:p>
        </w:tc>
        <w:tc>
          <w:tcPr>
            <w:tcW w:w="918" w:type="dxa"/>
            <w:vMerge w:val="continue"/>
            <w:vAlign w:val="center"/>
          </w:tcPr>
          <w:p w14:paraId="24256BD5">
            <w:pPr>
              <w:spacing w:line="360" w:lineRule="auto"/>
              <w:jc w:val="center"/>
              <w:rPr>
                <w:rFonts w:hint="eastAsia" w:ascii="宋体" w:hAnsi="宋体" w:eastAsia="宋体" w:cs="宋体"/>
                <w:color w:val="auto"/>
                <w:sz w:val="24"/>
                <w:szCs w:val="24"/>
              </w:rPr>
            </w:pPr>
          </w:p>
        </w:tc>
        <w:tc>
          <w:tcPr>
            <w:tcW w:w="1200" w:type="dxa"/>
            <w:vAlign w:val="center"/>
          </w:tcPr>
          <w:p w14:paraId="3B50C972">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其他</w:t>
            </w:r>
          </w:p>
        </w:tc>
        <w:tc>
          <w:tcPr>
            <w:tcW w:w="6047" w:type="dxa"/>
            <w:vAlign w:val="center"/>
          </w:tcPr>
          <w:p w14:paraId="09872B8D">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1、电动除霜外后视镜；</w:t>
            </w:r>
          </w:p>
          <w:p w14:paraId="13B77E9E">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2、全车窗帘；</w:t>
            </w:r>
          </w:p>
          <w:p w14:paraId="2DAD3401">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3、驾驶区带USB电源；</w:t>
            </w:r>
          </w:p>
          <w:p w14:paraId="05812189">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4、</w:t>
            </w:r>
            <w:r>
              <w:rPr>
                <w:rFonts w:hint="eastAsia" w:ascii="宋体" w:hAnsi="宋体" w:eastAsia="宋体" w:cs="宋体"/>
                <w:color w:val="auto"/>
                <w:sz w:val="24"/>
                <w:szCs w:val="24"/>
                <w:lang w:val="en-US" w:eastAsia="zh-CN"/>
              </w:rPr>
              <w:t xml:space="preserve"> </w:t>
            </w:r>
            <w:r>
              <w:rPr>
                <w:rFonts w:hint="eastAsia" w:ascii="宋体" w:hAnsi="宋体" w:eastAsia="宋体" w:cs="宋体"/>
                <w:sz w:val="24"/>
                <w:szCs w:val="24"/>
                <w:lang w:val="en-US" w:eastAsia="zh-CN"/>
              </w:rPr>
              <w:t>石英砂</w:t>
            </w:r>
            <w:r>
              <w:rPr>
                <w:rFonts w:hint="eastAsia" w:ascii="宋体" w:hAnsi="宋体" w:eastAsia="宋体" w:cs="宋体"/>
                <w:sz w:val="24"/>
                <w:szCs w:val="24"/>
              </w:rPr>
              <w:t>地板革</w:t>
            </w:r>
            <w:r>
              <w:rPr>
                <w:rFonts w:hint="eastAsia" w:ascii="宋体" w:hAnsi="宋体" w:eastAsia="宋体" w:cs="宋体"/>
                <w:color w:val="auto"/>
                <w:sz w:val="24"/>
                <w:szCs w:val="24"/>
              </w:rPr>
              <w:t>；</w:t>
            </w:r>
          </w:p>
        </w:tc>
        <w:tc>
          <w:tcPr>
            <w:tcW w:w="914" w:type="dxa"/>
            <w:vAlign w:val="center"/>
          </w:tcPr>
          <w:p w14:paraId="2AC6A583">
            <w:pPr>
              <w:spacing w:line="360" w:lineRule="auto"/>
              <w:ind w:left="0" w:leftChars="0" w:right="0" w:rightChars="0"/>
              <w:rPr>
                <w:rFonts w:hint="eastAsia" w:ascii="宋体" w:hAnsi="宋体" w:eastAsia="宋体" w:cs="宋体"/>
                <w:color w:val="auto"/>
                <w:sz w:val="24"/>
                <w:szCs w:val="24"/>
              </w:rPr>
            </w:pPr>
            <w:r>
              <w:rPr>
                <w:rFonts w:hint="eastAsia" w:ascii="宋体" w:hAnsi="宋体" w:eastAsia="宋体" w:cs="宋体"/>
                <w:b w:val="0"/>
                <w:bCs/>
                <w:color w:val="auto"/>
                <w:sz w:val="24"/>
                <w:szCs w:val="24"/>
                <w:lang w:val="en-US" w:eastAsia="zh-CN"/>
              </w:rPr>
              <w:t>项号30</w:t>
            </w:r>
          </w:p>
        </w:tc>
      </w:tr>
      <w:tr w14:paraId="3DF62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275E2A1B">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26</w:t>
            </w:r>
          </w:p>
        </w:tc>
        <w:tc>
          <w:tcPr>
            <w:tcW w:w="918" w:type="dxa"/>
            <w:vMerge w:val="restart"/>
            <w:vAlign w:val="center"/>
          </w:tcPr>
          <w:p w14:paraId="096C390E">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电器配置</w:t>
            </w:r>
          </w:p>
        </w:tc>
        <w:tc>
          <w:tcPr>
            <w:tcW w:w="1200" w:type="dxa"/>
            <w:vAlign w:val="center"/>
          </w:tcPr>
          <w:p w14:paraId="42CC32F4">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空调</w:t>
            </w:r>
          </w:p>
        </w:tc>
        <w:tc>
          <w:tcPr>
            <w:tcW w:w="6047" w:type="dxa"/>
            <w:vAlign w:val="center"/>
          </w:tcPr>
          <w:p w14:paraId="7E410544">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冷暖空调，</w:t>
            </w:r>
            <w:r>
              <w:rPr>
                <w:rFonts w:hint="eastAsia" w:ascii="宋体" w:hAnsi="宋体" w:eastAsia="宋体" w:cs="宋体"/>
                <w:color w:val="auto"/>
                <w:sz w:val="24"/>
                <w:szCs w:val="24"/>
                <w:lang w:val="en-US" w:eastAsia="zh-CN"/>
              </w:rPr>
              <w:t>符合国家标准</w:t>
            </w:r>
            <w:r>
              <w:rPr>
                <w:rFonts w:hint="eastAsia" w:ascii="宋体" w:hAnsi="宋体" w:eastAsia="宋体" w:cs="宋体"/>
                <w:color w:val="auto"/>
                <w:sz w:val="24"/>
                <w:szCs w:val="24"/>
              </w:rPr>
              <w:t>压缩机。制冷量不低于30000大卡，</w:t>
            </w:r>
            <w:r>
              <w:rPr>
                <w:rFonts w:hint="eastAsia" w:ascii="宋体" w:hAnsi="宋体" w:eastAsia="宋体" w:cs="宋体"/>
                <w:color w:val="auto"/>
                <w:sz w:val="24"/>
                <w:szCs w:val="24"/>
                <w:lang w:val="en-US" w:eastAsia="zh-CN"/>
              </w:rPr>
              <w:t>带电池水冷</w:t>
            </w:r>
            <w:r>
              <w:rPr>
                <w:rFonts w:hint="eastAsia" w:ascii="宋体" w:hAnsi="宋体" w:eastAsia="宋体" w:cs="宋体"/>
                <w:b w:val="0"/>
                <w:bCs/>
                <w:color w:val="auto"/>
                <w:sz w:val="24"/>
                <w:szCs w:val="24"/>
                <w:lang w:val="en-US" w:eastAsia="zh-CN"/>
              </w:rPr>
              <w:t>。</w:t>
            </w:r>
          </w:p>
        </w:tc>
        <w:tc>
          <w:tcPr>
            <w:tcW w:w="914" w:type="dxa"/>
            <w:vAlign w:val="center"/>
          </w:tcPr>
          <w:p w14:paraId="23B7E0A7">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项号31</w:t>
            </w:r>
          </w:p>
        </w:tc>
      </w:tr>
      <w:tr w14:paraId="71965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22B1E474">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27</w:t>
            </w:r>
          </w:p>
        </w:tc>
        <w:tc>
          <w:tcPr>
            <w:tcW w:w="918" w:type="dxa"/>
            <w:vMerge w:val="continue"/>
            <w:vAlign w:val="center"/>
          </w:tcPr>
          <w:p w14:paraId="5E4E7DB9">
            <w:pPr>
              <w:spacing w:line="360" w:lineRule="auto"/>
              <w:jc w:val="center"/>
              <w:rPr>
                <w:rFonts w:hint="eastAsia" w:ascii="宋体" w:hAnsi="宋体" w:eastAsia="宋体" w:cs="宋体"/>
                <w:color w:val="auto"/>
                <w:sz w:val="24"/>
                <w:szCs w:val="24"/>
              </w:rPr>
            </w:pPr>
          </w:p>
        </w:tc>
        <w:tc>
          <w:tcPr>
            <w:tcW w:w="1200" w:type="dxa"/>
            <w:vAlign w:val="center"/>
          </w:tcPr>
          <w:p w14:paraId="056F172C">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电气线路</w:t>
            </w:r>
          </w:p>
        </w:tc>
        <w:tc>
          <w:tcPr>
            <w:tcW w:w="6047" w:type="dxa"/>
            <w:vAlign w:val="center"/>
          </w:tcPr>
          <w:p w14:paraId="1FA5F401">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电线束辐照阻燃线耐温层级≥105℃，前围及底盘线束加阻燃波纹管，顶棚线束用胶带缠扎，线束部分插件采用防尘防水装置，接插可靠。线束穿越金属件时，穿越孔处装有橡皮圈，通过大电流的电线外加单独阻燃管铺设。各部位线束绝缘固定可靠，整车所有管路固定码应采用螺栓螺母固定，管路排列整齐，相邻固定码间隔（500-700）mm；主线束用箍带扎实并固定，相邻箍带间隔150mm，松散的线束和气管用箍带固定在大梁上，车厢地板以下和后仓内的电线插头用防水接插件。</w:t>
            </w:r>
          </w:p>
        </w:tc>
        <w:tc>
          <w:tcPr>
            <w:tcW w:w="914" w:type="dxa"/>
            <w:vAlign w:val="center"/>
          </w:tcPr>
          <w:p w14:paraId="38724B11">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项号32</w:t>
            </w:r>
          </w:p>
        </w:tc>
      </w:tr>
      <w:tr w14:paraId="2AD92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2C1DF301">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28</w:t>
            </w:r>
          </w:p>
        </w:tc>
        <w:tc>
          <w:tcPr>
            <w:tcW w:w="918" w:type="dxa"/>
            <w:vMerge w:val="continue"/>
            <w:vAlign w:val="center"/>
          </w:tcPr>
          <w:p w14:paraId="4BD876FF">
            <w:pPr>
              <w:spacing w:line="360" w:lineRule="auto"/>
              <w:jc w:val="center"/>
              <w:rPr>
                <w:rFonts w:hint="eastAsia" w:ascii="宋体" w:hAnsi="宋体" w:eastAsia="宋体" w:cs="宋体"/>
                <w:color w:val="auto"/>
                <w:sz w:val="24"/>
                <w:szCs w:val="24"/>
              </w:rPr>
            </w:pPr>
          </w:p>
        </w:tc>
        <w:tc>
          <w:tcPr>
            <w:tcW w:w="1200" w:type="dxa"/>
            <w:vAlign w:val="center"/>
          </w:tcPr>
          <w:p w14:paraId="7B46BE1E">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视听系统</w:t>
            </w:r>
          </w:p>
        </w:tc>
        <w:tc>
          <w:tcPr>
            <w:tcW w:w="6047" w:type="dxa"/>
            <w:vAlign w:val="center"/>
          </w:tcPr>
          <w:p w14:paraId="09FC84C8">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硬盘播放器</w:t>
            </w:r>
          </w:p>
        </w:tc>
        <w:tc>
          <w:tcPr>
            <w:tcW w:w="914" w:type="dxa"/>
            <w:vAlign w:val="center"/>
          </w:tcPr>
          <w:p w14:paraId="7064ED4A">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项号33</w:t>
            </w:r>
          </w:p>
        </w:tc>
      </w:tr>
      <w:tr w14:paraId="096FD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2C76DE51">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29</w:t>
            </w:r>
          </w:p>
        </w:tc>
        <w:tc>
          <w:tcPr>
            <w:tcW w:w="918" w:type="dxa"/>
            <w:vMerge w:val="continue"/>
            <w:vAlign w:val="center"/>
          </w:tcPr>
          <w:p w14:paraId="3D3B6007">
            <w:pPr>
              <w:spacing w:line="360" w:lineRule="auto"/>
              <w:jc w:val="center"/>
              <w:rPr>
                <w:rFonts w:hint="eastAsia" w:ascii="宋体" w:hAnsi="宋体" w:eastAsia="宋体" w:cs="宋体"/>
                <w:color w:val="auto"/>
                <w:sz w:val="24"/>
                <w:szCs w:val="24"/>
              </w:rPr>
            </w:pPr>
          </w:p>
        </w:tc>
        <w:tc>
          <w:tcPr>
            <w:tcW w:w="1200" w:type="dxa"/>
            <w:vMerge w:val="restart"/>
            <w:vAlign w:val="center"/>
          </w:tcPr>
          <w:p w14:paraId="707CE8A7">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车载监控</w:t>
            </w:r>
          </w:p>
          <w:p w14:paraId="2C0CE32B">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系统</w:t>
            </w:r>
          </w:p>
        </w:tc>
        <w:tc>
          <w:tcPr>
            <w:tcW w:w="6047" w:type="dxa"/>
            <w:vAlign w:val="center"/>
          </w:tcPr>
          <w:p w14:paraId="3606D4F4">
            <w:pPr>
              <w:spacing w:line="360" w:lineRule="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1.车外前后左右各安装1路高清摄像头，形成车外360°无死角的全景无缝拼接画面，满足3D成像，具备夜视功能。与公交车智能调度车载设备兼容，视频画面可接入司机操作屏，实现同一SIM卡网络通讯、同一硬盘录像，视频内容可接入采购人现在使用的视频监控系统</w:t>
            </w:r>
            <w:r>
              <w:rPr>
                <w:rFonts w:hint="eastAsia" w:cs="宋体"/>
                <w:color w:val="auto"/>
                <w:sz w:val="24"/>
                <w:szCs w:val="24"/>
                <w:lang w:eastAsia="zh-CN"/>
              </w:rPr>
              <w:t>，</w:t>
            </w:r>
            <w:r>
              <w:rPr>
                <w:rFonts w:hint="eastAsia" w:cs="宋体"/>
                <w:color w:val="auto"/>
                <w:sz w:val="24"/>
                <w:szCs w:val="24"/>
                <w:lang w:val="en-US" w:eastAsia="zh-CN"/>
              </w:rPr>
              <w:t>质保2年。</w:t>
            </w:r>
          </w:p>
        </w:tc>
        <w:tc>
          <w:tcPr>
            <w:tcW w:w="914" w:type="dxa"/>
            <w:vAlign w:val="center"/>
          </w:tcPr>
          <w:p w14:paraId="2886D3F8">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项号34</w:t>
            </w:r>
          </w:p>
        </w:tc>
      </w:tr>
      <w:tr w14:paraId="4026C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73266478">
            <w:pPr>
              <w:spacing w:line="360" w:lineRule="auto"/>
              <w:jc w:val="center"/>
              <w:rPr>
                <w:rFonts w:hint="eastAsia" w:ascii="宋体" w:hAnsi="宋体" w:eastAsia="宋体" w:cs="宋体"/>
                <w:color w:val="auto"/>
                <w:sz w:val="24"/>
                <w:szCs w:val="24"/>
              </w:rPr>
            </w:pPr>
          </w:p>
        </w:tc>
        <w:tc>
          <w:tcPr>
            <w:tcW w:w="918" w:type="dxa"/>
            <w:vMerge w:val="continue"/>
            <w:vAlign w:val="center"/>
          </w:tcPr>
          <w:p w14:paraId="1A2459A6">
            <w:pPr>
              <w:spacing w:line="360" w:lineRule="auto"/>
              <w:jc w:val="center"/>
              <w:rPr>
                <w:rFonts w:hint="eastAsia" w:ascii="宋体" w:hAnsi="宋体" w:eastAsia="宋体" w:cs="宋体"/>
                <w:color w:val="auto"/>
                <w:sz w:val="24"/>
                <w:szCs w:val="24"/>
              </w:rPr>
            </w:pPr>
          </w:p>
        </w:tc>
        <w:tc>
          <w:tcPr>
            <w:tcW w:w="1200" w:type="dxa"/>
            <w:vMerge w:val="continue"/>
            <w:vAlign w:val="center"/>
          </w:tcPr>
          <w:p w14:paraId="56FA13B8">
            <w:pPr>
              <w:spacing w:line="360" w:lineRule="auto"/>
              <w:jc w:val="center"/>
              <w:rPr>
                <w:rFonts w:hint="eastAsia" w:ascii="宋体" w:hAnsi="宋体" w:eastAsia="宋体" w:cs="宋体"/>
                <w:color w:val="auto"/>
                <w:sz w:val="24"/>
                <w:szCs w:val="24"/>
              </w:rPr>
            </w:pPr>
          </w:p>
        </w:tc>
        <w:tc>
          <w:tcPr>
            <w:tcW w:w="6047" w:type="dxa"/>
            <w:vAlign w:val="center"/>
          </w:tcPr>
          <w:p w14:paraId="69B63457">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2.具备事后取证功能，全景视频通过环视主机拼接后形成一路TVI或AHD视频信号，可存储至智能调度车载设备。当车辆发生紧急情况时，确保重要录像不丢失。</w:t>
            </w:r>
          </w:p>
        </w:tc>
        <w:tc>
          <w:tcPr>
            <w:tcW w:w="914" w:type="dxa"/>
            <w:vAlign w:val="center"/>
          </w:tcPr>
          <w:p w14:paraId="3472333F">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项号35</w:t>
            </w:r>
          </w:p>
        </w:tc>
      </w:tr>
      <w:tr w14:paraId="02F62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10B2EB4C">
            <w:pPr>
              <w:spacing w:line="360" w:lineRule="auto"/>
              <w:jc w:val="center"/>
              <w:rPr>
                <w:rFonts w:hint="eastAsia" w:ascii="宋体" w:hAnsi="宋体" w:eastAsia="宋体" w:cs="宋体"/>
                <w:color w:val="auto"/>
                <w:sz w:val="24"/>
                <w:szCs w:val="24"/>
              </w:rPr>
            </w:pPr>
          </w:p>
        </w:tc>
        <w:tc>
          <w:tcPr>
            <w:tcW w:w="918" w:type="dxa"/>
            <w:vMerge w:val="continue"/>
            <w:vAlign w:val="center"/>
          </w:tcPr>
          <w:p w14:paraId="5FA11848">
            <w:pPr>
              <w:spacing w:line="360" w:lineRule="auto"/>
              <w:jc w:val="center"/>
              <w:rPr>
                <w:rFonts w:hint="eastAsia" w:ascii="宋体" w:hAnsi="宋体" w:eastAsia="宋体" w:cs="宋体"/>
                <w:color w:val="auto"/>
                <w:sz w:val="24"/>
                <w:szCs w:val="24"/>
              </w:rPr>
            </w:pPr>
          </w:p>
        </w:tc>
        <w:tc>
          <w:tcPr>
            <w:tcW w:w="1200" w:type="dxa"/>
            <w:vMerge w:val="continue"/>
            <w:vAlign w:val="center"/>
          </w:tcPr>
          <w:p w14:paraId="24B7858B">
            <w:pPr>
              <w:spacing w:line="360" w:lineRule="auto"/>
              <w:jc w:val="center"/>
              <w:rPr>
                <w:rFonts w:hint="eastAsia" w:ascii="宋体" w:hAnsi="宋体" w:eastAsia="宋体" w:cs="宋体"/>
                <w:color w:val="auto"/>
                <w:sz w:val="24"/>
                <w:szCs w:val="24"/>
              </w:rPr>
            </w:pPr>
          </w:p>
        </w:tc>
        <w:tc>
          <w:tcPr>
            <w:tcW w:w="6047" w:type="dxa"/>
            <w:vAlign w:val="center"/>
          </w:tcPr>
          <w:p w14:paraId="4A85E3A0">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3.司机安全驾驶辅助360系统具备自检功能，可通过呼吸灯的状态或外接显示屏明确显示设备当前主要状态，包括：主电源状态、与司机安全驾驶辅助360系统主机相连的其它设备状态等。若出现故障，支持通过信号灯或显示屏指示故障信息，并存储故障信息到设备中。</w:t>
            </w:r>
          </w:p>
        </w:tc>
        <w:tc>
          <w:tcPr>
            <w:tcW w:w="914" w:type="dxa"/>
            <w:vAlign w:val="center"/>
          </w:tcPr>
          <w:p w14:paraId="644428AA">
            <w:pPr>
              <w:spacing w:line="360" w:lineRule="auto"/>
              <w:ind w:left="0" w:leftChars="0" w:right="0" w:rightChars="0"/>
              <w:rPr>
                <w:rFonts w:hint="eastAsia" w:ascii="宋体" w:hAnsi="宋体" w:eastAsia="宋体" w:cs="宋体"/>
                <w:color w:val="auto"/>
                <w:sz w:val="24"/>
                <w:szCs w:val="24"/>
              </w:rPr>
            </w:pPr>
            <w:r>
              <w:rPr>
                <w:rFonts w:hint="eastAsia" w:ascii="宋体" w:hAnsi="宋体" w:eastAsia="宋体" w:cs="宋体"/>
                <w:b w:val="0"/>
                <w:bCs/>
                <w:color w:val="auto"/>
                <w:sz w:val="24"/>
                <w:szCs w:val="24"/>
                <w:lang w:val="en-US" w:eastAsia="zh-CN"/>
              </w:rPr>
              <w:t>项号36</w:t>
            </w:r>
          </w:p>
        </w:tc>
      </w:tr>
      <w:tr w14:paraId="3D9B2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372778A7">
            <w:pPr>
              <w:spacing w:line="360" w:lineRule="auto"/>
              <w:jc w:val="center"/>
              <w:rPr>
                <w:rFonts w:hint="eastAsia" w:ascii="宋体" w:hAnsi="宋体" w:eastAsia="宋体" w:cs="宋体"/>
                <w:color w:val="auto"/>
                <w:sz w:val="24"/>
                <w:szCs w:val="24"/>
              </w:rPr>
            </w:pPr>
          </w:p>
        </w:tc>
        <w:tc>
          <w:tcPr>
            <w:tcW w:w="918" w:type="dxa"/>
            <w:vMerge w:val="continue"/>
            <w:vAlign w:val="center"/>
          </w:tcPr>
          <w:p w14:paraId="345D1407">
            <w:pPr>
              <w:spacing w:line="360" w:lineRule="auto"/>
              <w:jc w:val="center"/>
              <w:rPr>
                <w:rFonts w:hint="eastAsia" w:ascii="宋体" w:hAnsi="宋体" w:eastAsia="宋体" w:cs="宋体"/>
                <w:color w:val="auto"/>
                <w:sz w:val="24"/>
                <w:szCs w:val="24"/>
              </w:rPr>
            </w:pPr>
          </w:p>
        </w:tc>
        <w:tc>
          <w:tcPr>
            <w:tcW w:w="1200" w:type="dxa"/>
            <w:vMerge w:val="continue"/>
            <w:vAlign w:val="center"/>
          </w:tcPr>
          <w:p w14:paraId="54B2D25B">
            <w:pPr>
              <w:spacing w:line="360" w:lineRule="auto"/>
              <w:jc w:val="center"/>
              <w:rPr>
                <w:rFonts w:hint="eastAsia" w:ascii="宋体" w:hAnsi="宋体" w:eastAsia="宋体" w:cs="宋体"/>
                <w:color w:val="auto"/>
                <w:sz w:val="24"/>
                <w:szCs w:val="24"/>
              </w:rPr>
            </w:pPr>
          </w:p>
        </w:tc>
        <w:tc>
          <w:tcPr>
            <w:tcW w:w="6047" w:type="dxa"/>
            <w:vAlign w:val="center"/>
          </w:tcPr>
          <w:p w14:paraId="2193AD2C">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.设备可支持通过硬线或CAN接口接入车身CAN信号，可通过判断挡位、转向灯、车速、方向盘转角信号自动切换视角。</w:t>
            </w:r>
          </w:p>
        </w:tc>
        <w:tc>
          <w:tcPr>
            <w:tcW w:w="914" w:type="dxa"/>
            <w:vAlign w:val="center"/>
          </w:tcPr>
          <w:p w14:paraId="14E2FD8F">
            <w:pPr>
              <w:spacing w:line="360" w:lineRule="auto"/>
              <w:ind w:left="0" w:leftChars="0" w:right="0" w:rightChars="0"/>
              <w:rPr>
                <w:rFonts w:hint="eastAsia" w:ascii="宋体" w:hAnsi="宋体" w:eastAsia="宋体" w:cs="宋体"/>
                <w:color w:val="auto"/>
                <w:sz w:val="24"/>
                <w:szCs w:val="24"/>
                <w:lang w:val="en-US" w:eastAsia="zh-CN"/>
              </w:rPr>
            </w:pPr>
            <w:r>
              <w:rPr>
                <w:rFonts w:hint="eastAsia" w:ascii="宋体" w:hAnsi="宋体" w:eastAsia="宋体" w:cs="宋体"/>
                <w:b w:val="0"/>
                <w:bCs/>
                <w:color w:val="auto"/>
                <w:sz w:val="24"/>
                <w:szCs w:val="24"/>
                <w:lang w:val="en-US" w:eastAsia="zh-CN"/>
              </w:rPr>
              <w:t>项号37</w:t>
            </w:r>
          </w:p>
        </w:tc>
      </w:tr>
      <w:tr w14:paraId="456F2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5A3257CC">
            <w:pPr>
              <w:spacing w:line="360" w:lineRule="auto"/>
              <w:jc w:val="center"/>
              <w:rPr>
                <w:rFonts w:hint="eastAsia" w:ascii="宋体" w:hAnsi="宋体" w:eastAsia="宋体" w:cs="宋体"/>
                <w:color w:val="auto"/>
                <w:sz w:val="24"/>
                <w:szCs w:val="24"/>
              </w:rPr>
            </w:pPr>
          </w:p>
        </w:tc>
        <w:tc>
          <w:tcPr>
            <w:tcW w:w="918" w:type="dxa"/>
            <w:vMerge w:val="continue"/>
            <w:vAlign w:val="center"/>
          </w:tcPr>
          <w:p w14:paraId="389A17D4">
            <w:pPr>
              <w:spacing w:line="360" w:lineRule="auto"/>
              <w:jc w:val="center"/>
              <w:rPr>
                <w:rFonts w:hint="eastAsia" w:ascii="宋体" w:hAnsi="宋体" w:eastAsia="宋体" w:cs="宋体"/>
                <w:color w:val="auto"/>
                <w:sz w:val="24"/>
                <w:szCs w:val="24"/>
              </w:rPr>
            </w:pPr>
          </w:p>
        </w:tc>
        <w:tc>
          <w:tcPr>
            <w:tcW w:w="1200" w:type="dxa"/>
            <w:vMerge w:val="continue"/>
            <w:vAlign w:val="center"/>
          </w:tcPr>
          <w:p w14:paraId="1549B86E">
            <w:pPr>
              <w:spacing w:line="360" w:lineRule="auto"/>
              <w:jc w:val="center"/>
              <w:rPr>
                <w:rFonts w:hint="eastAsia" w:ascii="宋体" w:hAnsi="宋体" w:eastAsia="宋体" w:cs="宋体"/>
                <w:color w:val="auto"/>
                <w:sz w:val="24"/>
                <w:szCs w:val="24"/>
              </w:rPr>
            </w:pPr>
          </w:p>
        </w:tc>
        <w:tc>
          <w:tcPr>
            <w:tcW w:w="6047" w:type="dxa"/>
            <w:vAlign w:val="center"/>
          </w:tcPr>
          <w:p w14:paraId="678F470F">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司机安全驾驶辅助360系统主机具备3D成像功能，支持车辆模型在拼接画面中以3D模型显示，画面更直观、代入感更强，帮助司机更直接地查看车辆情况。司机安全驾驶辅助360系统主机支持2D/3D平滑切换，切换过程中画面连接顺畅不漏秒。</w:t>
            </w:r>
          </w:p>
        </w:tc>
        <w:tc>
          <w:tcPr>
            <w:tcW w:w="914" w:type="dxa"/>
            <w:vAlign w:val="center"/>
          </w:tcPr>
          <w:p w14:paraId="2288FD61">
            <w:pPr>
              <w:spacing w:line="360" w:lineRule="auto"/>
              <w:ind w:left="0" w:leftChars="0" w:right="0" w:rightChars="0"/>
              <w:rPr>
                <w:rFonts w:hint="eastAsia" w:ascii="宋体" w:hAnsi="宋体" w:eastAsia="宋体" w:cs="宋体"/>
                <w:color w:val="auto"/>
                <w:sz w:val="24"/>
                <w:szCs w:val="24"/>
                <w:lang w:val="en-US" w:eastAsia="zh-CN"/>
              </w:rPr>
            </w:pPr>
            <w:r>
              <w:rPr>
                <w:rFonts w:hint="eastAsia" w:ascii="宋体" w:hAnsi="宋体" w:eastAsia="宋体" w:cs="宋体"/>
                <w:b w:val="0"/>
                <w:bCs/>
                <w:color w:val="auto"/>
                <w:sz w:val="24"/>
                <w:szCs w:val="24"/>
                <w:lang w:val="en-US" w:eastAsia="zh-CN"/>
              </w:rPr>
              <w:t>项号38</w:t>
            </w:r>
          </w:p>
        </w:tc>
      </w:tr>
      <w:tr w14:paraId="31FA2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58FADDF0">
            <w:pPr>
              <w:spacing w:line="360" w:lineRule="auto"/>
              <w:jc w:val="center"/>
              <w:rPr>
                <w:rFonts w:hint="eastAsia" w:ascii="宋体" w:hAnsi="宋体" w:eastAsia="宋体" w:cs="宋体"/>
                <w:color w:val="auto"/>
                <w:sz w:val="24"/>
                <w:szCs w:val="24"/>
              </w:rPr>
            </w:pPr>
          </w:p>
        </w:tc>
        <w:tc>
          <w:tcPr>
            <w:tcW w:w="918" w:type="dxa"/>
            <w:vMerge w:val="continue"/>
            <w:vAlign w:val="center"/>
          </w:tcPr>
          <w:p w14:paraId="5EE4434E">
            <w:pPr>
              <w:spacing w:line="360" w:lineRule="auto"/>
              <w:jc w:val="center"/>
              <w:rPr>
                <w:rFonts w:hint="eastAsia" w:ascii="宋体" w:hAnsi="宋体" w:eastAsia="宋体" w:cs="宋体"/>
                <w:color w:val="auto"/>
                <w:sz w:val="24"/>
                <w:szCs w:val="24"/>
              </w:rPr>
            </w:pPr>
          </w:p>
        </w:tc>
        <w:tc>
          <w:tcPr>
            <w:tcW w:w="1200" w:type="dxa"/>
            <w:vAlign w:val="center"/>
          </w:tcPr>
          <w:p w14:paraId="06DDCC9E">
            <w:pPr>
              <w:spacing w:line="360" w:lineRule="auto"/>
              <w:rPr>
                <w:rFonts w:hint="eastAsia" w:ascii="宋体" w:hAnsi="宋体" w:eastAsia="宋体" w:cs="宋体"/>
                <w:color w:val="auto"/>
                <w:sz w:val="24"/>
                <w:szCs w:val="24"/>
                <w:lang w:val="en-US" w:eastAsia="zh-CN"/>
              </w:rPr>
            </w:pPr>
            <w:r>
              <w:rPr>
                <w:rFonts w:hint="eastAsia" w:ascii="宋体" w:hAnsi="宋体" w:eastAsia="宋体" w:cs="宋体"/>
                <w:b w:val="0"/>
                <w:bCs/>
                <w:color w:val="auto"/>
                <w:sz w:val="24"/>
                <w:szCs w:val="24"/>
                <w:lang w:eastAsia="zh-CN"/>
              </w:rPr>
              <w:t>★</w:t>
            </w:r>
            <w:r>
              <w:rPr>
                <w:rFonts w:hint="eastAsia" w:ascii="宋体" w:hAnsi="宋体" w:eastAsia="宋体" w:cs="宋体"/>
                <w:color w:val="auto"/>
                <w:sz w:val="24"/>
                <w:szCs w:val="24"/>
              </w:rPr>
              <w:t>GPS调度系统一体机</w:t>
            </w:r>
            <w:r>
              <w:rPr>
                <w:rFonts w:hint="eastAsia" w:ascii="宋体" w:hAnsi="宋体" w:eastAsia="宋体" w:cs="宋体"/>
                <w:color w:val="auto"/>
                <w:sz w:val="24"/>
                <w:szCs w:val="24"/>
                <w:lang w:val="en-US" w:eastAsia="zh-CN"/>
              </w:rPr>
              <w:t xml:space="preserve"> </w:t>
            </w:r>
          </w:p>
        </w:tc>
        <w:tc>
          <w:tcPr>
            <w:tcW w:w="6047" w:type="dxa"/>
            <w:vAlign w:val="center"/>
          </w:tcPr>
          <w:p w14:paraId="2E3C23D8">
            <w:pPr>
              <w:spacing w:line="360"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具备GPS/北斗双模定位、4G全网通网络通讯、支持8路及以上视频监控录像、2T机械硬盘、主动安全DSM+ADAS和一键报警装置等配置，实现司机考勤、智能调度、自动报站功能，实现司机疲劳驾驶报警、接打电话报警、抽烟吃零食报警、分神报警、预防前碰撞和车道偏离报警等主动安全预警功能。整套设备实现同一张SIM卡网络通讯，与采购人现在使用的智能调度管理系统无缝对接，并保障数据无缝对接至《福建省城市公交智能管理平台》和省动态监管平台，保障不影响采购人成本规制相关考核要求。一键报警实现与采购人现在使用的一键报警系统无缝对接。</w:t>
            </w:r>
          </w:p>
        </w:tc>
        <w:tc>
          <w:tcPr>
            <w:tcW w:w="914" w:type="dxa"/>
            <w:vAlign w:val="center"/>
          </w:tcPr>
          <w:p w14:paraId="42D83FEF">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项号39</w:t>
            </w:r>
          </w:p>
        </w:tc>
      </w:tr>
      <w:tr w14:paraId="3829A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2C8DE399">
            <w:pPr>
              <w:spacing w:line="360" w:lineRule="auto"/>
              <w:jc w:val="center"/>
              <w:rPr>
                <w:rFonts w:hint="eastAsia" w:ascii="宋体" w:hAnsi="宋体" w:eastAsia="宋体" w:cs="宋体"/>
                <w:color w:val="auto"/>
                <w:sz w:val="24"/>
                <w:szCs w:val="24"/>
              </w:rPr>
            </w:pPr>
          </w:p>
        </w:tc>
        <w:tc>
          <w:tcPr>
            <w:tcW w:w="918" w:type="dxa"/>
            <w:vMerge w:val="continue"/>
            <w:vAlign w:val="center"/>
          </w:tcPr>
          <w:p w14:paraId="7026E74C">
            <w:pPr>
              <w:spacing w:line="360" w:lineRule="auto"/>
              <w:jc w:val="center"/>
              <w:rPr>
                <w:rFonts w:hint="eastAsia" w:ascii="宋体" w:hAnsi="宋体" w:eastAsia="宋体" w:cs="宋体"/>
                <w:color w:val="auto"/>
                <w:sz w:val="24"/>
                <w:szCs w:val="24"/>
              </w:rPr>
            </w:pPr>
          </w:p>
        </w:tc>
        <w:tc>
          <w:tcPr>
            <w:tcW w:w="1200" w:type="dxa"/>
            <w:vAlign w:val="center"/>
          </w:tcPr>
          <w:p w14:paraId="3E9CCA7E">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一键报警系统</w:t>
            </w:r>
          </w:p>
        </w:tc>
        <w:tc>
          <w:tcPr>
            <w:tcW w:w="6047" w:type="dxa"/>
            <w:vAlign w:val="center"/>
          </w:tcPr>
          <w:p w14:paraId="38E834FF">
            <w:pPr>
              <w:spacing w:line="360"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具备自锁式开关、防勿碰保护罩；具备公交车行驶途中出现突发事件时，驾驶员触发一键报警按钮后，车载终端于第一时间将突发警情信息传输至公交调度指挥中心</w:t>
            </w:r>
            <w:r>
              <w:rPr>
                <w:rFonts w:hint="eastAsia" w:ascii="宋体" w:hAnsi="宋体" w:eastAsia="宋体" w:cs="宋体"/>
                <w:color w:val="auto"/>
                <w:sz w:val="24"/>
                <w:szCs w:val="24"/>
                <w:lang w:val="en-US" w:eastAsia="zh-CN"/>
              </w:rPr>
              <w:t>现在使用的一键报警系统</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报警信息包含：</w:t>
            </w:r>
            <w:r>
              <w:rPr>
                <w:rFonts w:hint="eastAsia" w:ascii="宋体" w:hAnsi="宋体" w:eastAsia="宋体" w:cs="宋体"/>
                <w:color w:val="auto"/>
                <w:sz w:val="24"/>
                <w:szCs w:val="24"/>
              </w:rPr>
              <w:t>基础数据事发位置（电子地图，车辆定位），车辆详情（车牌），司机信息（姓名、手机号码），轨迹回放、视频监控（原图传输）、重点监控功能等数据的同步更新。</w:t>
            </w:r>
          </w:p>
        </w:tc>
        <w:tc>
          <w:tcPr>
            <w:tcW w:w="914" w:type="dxa"/>
            <w:vAlign w:val="center"/>
          </w:tcPr>
          <w:p w14:paraId="60C08A1B">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项号40</w:t>
            </w:r>
          </w:p>
        </w:tc>
      </w:tr>
      <w:tr w14:paraId="02010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00F6DF08">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30</w:t>
            </w:r>
          </w:p>
        </w:tc>
        <w:tc>
          <w:tcPr>
            <w:tcW w:w="918" w:type="dxa"/>
            <w:vMerge w:val="continue"/>
            <w:vAlign w:val="center"/>
          </w:tcPr>
          <w:p w14:paraId="61E1823C">
            <w:pPr>
              <w:spacing w:line="360" w:lineRule="auto"/>
              <w:jc w:val="center"/>
              <w:rPr>
                <w:rFonts w:hint="eastAsia" w:ascii="宋体" w:hAnsi="宋体" w:eastAsia="宋体" w:cs="宋体"/>
                <w:color w:val="auto"/>
                <w:sz w:val="24"/>
                <w:szCs w:val="24"/>
              </w:rPr>
            </w:pPr>
          </w:p>
        </w:tc>
        <w:tc>
          <w:tcPr>
            <w:tcW w:w="1200" w:type="dxa"/>
            <w:vAlign w:val="center"/>
          </w:tcPr>
          <w:p w14:paraId="5176A7F2">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sz w:val="24"/>
                <w:szCs w:val="24"/>
                <w:lang w:val="en-US" w:eastAsia="zh-CN"/>
              </w:rPr>
              <w:t>主动安全</w:t>
            </w:r>
          </w:p>
        </w:tc>
        <w:tc>
          <w:tcPr>
            <w:tcW w:w="6047" w:type="dxa"/>
            <w:vAlign w:val="center"/>
          </w:tcPr>
          <w:p w14:paraId="5A8BA0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color w:val="auto"/>
                <w:sz w:val="24"/>
                <w:szCs w:val="24"/>
              </w:rPr>
            </w:pPr>
            <w:r>
              <w:rPr>
                <w:rFonts w:hint="eastAsia" w:ascii="宋体" w:hAnsi="宋体" w:eastAsia="宋体" w:cs="宋体"/>
                <w:sz w:val="24"/>
                <w:szCs w:val="24"/>
                <w:lang w:val="en-US" w:eastAsia="zh-CN"/>
              </w:rPr>
              <w:t>车道偏离预警系统LDW+AEBS紧急制动系统，胎压监测与爆胎应急装置集成</w:t>
            </w:r>
          </w:p>
        </w:tc>
        <w:tc>
          <w:tcPr>
            <w:tcW w:w="914" w:type="dxa"/>
            <w:vAlign w:val="center"/>
          </w:tcPr>
          <w:p w14:paraId="47EB81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left"/>
              <w:rPr>
                <w:rFonts w:hint="eastAsia" w:ascii="宋体" w:hAnsi="宋体" w:eastAsia="宋体" w:cs="宋体"/>
                <w:color w:val="auto"/>
                <w:sz w:val="24"/>
                <w:szCs w:val="24"/>
                <w:lang w:val="en-US" w:eastAsia="zh-CN"/>
              </w:rPr>
            </w:pPr>
            <w:r>
              <w:rPr>
                <w:rFonts w:hint="eastAsia" w:ascii="宋体" w:hAnsi="宋体" w:eastAsia="宋体" w:cs="宋体"/>
                <w:b w:val="0"/>
                <w:bCs/>
                <w:color w:val="auto"/>
                <w:sz w:val="24"/>
                <w:szCs w:val="24"/>
                <w:lang w:val="en-US" w:eastAsia="zh-CN"/>
              </w:rPr>
              <w:t>项号41</w:t>
            </w:r>
          </w:p>
        </w:tc>
      </w:tr>
      <w:tr w14:paraId="62227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58A4C2C9">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31</w:t>
            </w:r>
          </w:p>
        </w:tc>
        <w:tc>
          <w:tcPr>
            <w:tcW w:w="918" w:type="dxa"/>
            <w:vMerge w:val="continue"/>
            <w:vAlign w:val="center"/>
          </w:tcPr>
          <w:p w14:paraId="3C8FB827">
            <w:pPr>
              <w:spacing w:line="360" w:lineRule="auto"/>
              <w:jc w:val="center"/>
              <w:rPr>
                <w:rFonts w:hint="eastAsia" w:ascii="宋体" w:hAnsi="宋体" w:eastAsia="宋体" w:cs="宋体"/>
                <w:color w:val="auto"/>
                <w:sz w:val="24"/>
                <w:szCs w:val="24"/>
              </w:rPr>
            </w:pPr>
          </w:p>
        </w:tc>
        <w:tc>
          <w:tcPr>
            <w:tcW w:w="1200" w:type="dxa"/>
            <w:vAlign w:val="center"/>
          </w:tcPr>
          <w:p w14:paraId="3EEBBAEF">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倒车监视器</w:t>
            </w:r>
          </w:p>
        </w:tc>
        <w:tc>
          <w:tcPr>
            <w:tcW w:w="6047" w:type="dxa"/>
            <w:vAlign w:val="center"/>
          </w:tcPr>
          <w:p w14:paraId="613E1019">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7寸彩色</w:t>
            </w:r>
          </w:p>
        </w:tc>
        <w:tc>
          <w:tcPr>
            <w:tcW w:w="914" w:type="dxa"/>
            <w:vAlign w:val="center"/>
          </w:tcPr>
          <w:p w14:paraId="156BA415">
            <w:pPr>
              <w:spacing w:line="360" w:lineRule="auto"/>
              <w:ind w:left="0" w:leftChars="0" w:right="0" w:rightChars="0"/>
              <w:rPr>
                <w:rFonts w:hint="eastAsia" w:ascii="宋体" w:hAnsi="宋体" w:eastAsia="宋体" w:cs="宋体"/>
                <w:color w:val="auto"/>
                <w:sz w:val="24"/>
                <w:szCs w:val="24"/>
                <w:lang w:val="en-US"/>
              </w:rPr>
            </w:pPr>
            <w:r>
              <w:rPr>
                <w:rFonts w:hint="eastAsia" w:ascii="宋体" w:hAnsi="宋体" w:eastAsia="宋体" w:cs="宋体"/>
                <w:b w:val="0"/>
                <w:bCs/>
                <w:color w:val="auto"/>
                <w:sz w:val="24"/>
                <w:szCs w:val="24"/>
                <w:lang w:val="en-US" w:eastAsia="zh-CN"/>
              </w:rPr>
              <w:t>项号4</w:t>
            </w:r>
            <w:r>
              <w:rPr>
                <w:rFonts w:hint="eastAsia" w:cs="宋体"/>
                <w:b w:val="0"/>
                <w:bCs/>
                <w:color w:val="auto"/>
                <w:sz w:val="24"/>
                <w:szCs w:val="24"/>
                <w:lang w:val="en-US" w:eastAsia="zh-CN"/>
              </w:rPr>
              <w:t>2</w:t>
            </w:r>
          </w:p>
        </w:tc>
      </w:tr>
      <w:tr w14:paraId="2C264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Merge w:val="restart"/>
            <w:vAlign w:val="center"/>
          </w:tcPr>
          <w:p w14:paraId="2C6B8FB9">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32</w:t>
            </w:r>
          </w:p>
        </w:tc>
        <w:tc>
          <w:tcPr>
            <w:tcW w:w="918" w:type="dxa"/>
            <w:vMerge w:val="continue"/>
            <w:vAlign w:val="center"/>
          </w:tcPr>
          <w:p w14:paraId="632F9793">
            <w:pPr>
              <w:spacing w:line="360" w:lineRule="auto"/>
              <w:jc w:val="center"/>
              <w:rPr>
                <w:rFonts w:hint="eastAsia" w:ascii="宋体" w:hAnsi="宋体" w:eastAsia="宋体" w:cs="宋体"/>
                <w:color w:val="auto"/>
                <w:sz w:val="24"/>
                <w:szCs w:val="24"/>
              </w:rPr>
            </w:pPr>
          </w:p>
        </w:tc>
        <w:tc>
          <w:tcPr>
            <w:tcW w:w="1200" w:type="dxa"/>
            <w:vMerge w:val="restart"/>
            <w:vAlign w:val="center"/>
          </w:tcPr>
          <w:p w14:paraId="5C17AAA5">
            <w:pPr>
              <w:spacing w:line="36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其他</w:t>
            </w:r>
          </w:p>
        </w:tc>
        <w:tc>
          <w:tcPr>
            <w:tcW w:w="6047" w:type="dxa"/>
            <w:vAlign w:val="center"/>
          </w:tcPr>
          <w:p w14:paraId="39A835EC">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1、高位刹车灯；</w:t>
            </w:r>
          </w:p>
          <w:p w14:paraId="24901F3B">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2、电子钟；</w:t>
            </w:r>
          </w:p>
          <w:p w14:paraId="143A64A0">
            <w:pPr>
              <w:spacing w:line="360"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3、CAN总线仪表；</w:t>
            </w:r>
          </w:p>
        </w:tc>
        <w:tc>
          <w:tcPr>
            <w:tcW w:w="914" w:type="dxa"/>
            <w:vAlign w:val="center"/>
          </w:tcPr>
          <w:p w14:paraId="5CCB402E">
            <w:pPr>
              <w:ind w:left="0" w:leftChars="0" w:right="0" w:rightChars="0"/>
              <w:rPr>
                <w:rFonts w:hint="eastAsia" w:ascii="宋体" w:hAnsi="宋体" w:eastAsia="宋体" w:cs="宋体"/>
                <w:color w:val="auto"/>
                <w:sz w:val="24"/>
                <w:szCs w:val="24"/>
                <w:lang w:val="en-US" w:eastAsia="zh-CN"/>
              </w:rPr>
            </w:pPr>
            <w:r>
              <w:rPr>
                <w:rFonts w:hint="eastAsia" w:ascii="宋体" w:hAnsi="宋体" w:eastAsia="宋体" w:cs="宋体"/>
                <w:b w:val="0"/>
                <w:bCs/>
                <w:color w:val="auto"/>
                <w:sz w:val="24"/>
                <w:szCs w:val="24"/>
                <w:lang w:val="en-US" w:eastAsia="zh-CN"/>
              </w:rPr>
              <w:t>项号4</w:t>
            </w:r>
            <w:r>
              <w:rPr>
                <w:rFonts w:hint="eastAsia" w:cs="宋体"/>
                <w:b w:val="0"/>
                <w:bCs/>
                <w:color w:val="auto"/>
                <w:sz w:val="24"/>
                <w:szCs w:val="24"/>
                <w:lang w:val="en-US" w:eastAsia="zh-CN"/>
              </w:rPr>
              <w:t>3</w:t>
            </w:r>
          </w:p>
        </w:tc>
      </w:tr>
      <w:tr w14:paraId="52494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Merge w:val="continue"/>
            <w:vAlign w:val="center"/>
          </w:tcPr>
          <w:p w14:paraId="6D047D39">
            <w:pPr>
              <w:spacing w:line="360" w:lineRule="auto"/>
              <w:jc w:val="center"/>
              <w:rPr>
                <w:rFonts w:hint="eastAsia" w:ascii="宋体" w:hAnsi="宋体" w:eastAsia="宋体" w:cs="宋体"/>
                <w:color w:val="auto"/>
                <w:sz w:val="24"/>
                <w:szCs w:val="24"/>
              </w:rPr>
            </w:pPr>
          </w:p>
        </w:tc>
        <w:tc>
          <w:tcPr>
            <w:tcW w:w="918" w:type="dxa"/>
            <w:vAlign w:val="center"/>
          </w:tcPr>
          <w:p w14:paraId="6DE76CAC">
            <w:pPr>
              <w:spacing w:line="360" w:lineRule="auto"/>
              <w:jc w:val="center"/>
              <w:rPr>
                <w:rFonts w:hint="eastAsia" w:ascii="宋体" w:hAnsi="宋体" w:eastAsia="宋体" w:cs="宋体"/>
                <w:color w:val="auto"/>
                <w:sz w:val="24"/>
                <w:szCs w:val="24"/>
              </w:rPr>
            </w:pPr>
          </w:p>
        </w:tc>
        <w:tc>
          <w:tcPr>
            <w:tcW w:w="1200" w:type="dxa"/>
            <w:vMerge w:val="continue"/>
            <w:vAlign w:val="center"/>
          </w:tcPr>
          <w:p w14:paraId="655E2BB1">
            <w:pPr>
              <w:spacing w:line="360" w:lineRule="auto"/>
              <w:jc w:val="center"/>
              <w:rPr>
                <w:rFonts w:hint="eastAsia" w:ascii="宋体" w:hAnsi="宋体" w:eastAsia="宋体" w:cs="宋体"/>
                <w:color w:val="auto"/>
                <w:sz w:val="24"/>
                <w:szCs w:val="24"/>
              </w:rPr>
            </w:pPr>
          </w:p>
        </w:tc>
        <w:tc>
          <w:tcPr>
            <w:tcW w:w="6047" w:type="dxa"/>
            <w:vAlign w:val="center"/>
          </w:tcPr>
          <w:p w14:paraId="2A4DC813">
            <w:pPr>
              <w:numPr>
                <w:ilvl w:val="0"/>
                <w:numId w:val="63"/>
              </w:num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车内灭火器；</w:t>
            </w:r>
          </w:p>
          <w:p w14:paraId="219F6FDF">
            <w:pPr>
              <w:numPr>
                <w:ilvl w:val="0"/>
                <w:numId w:val="0"/>
              </w:numPr>
              <w:spacing w:line="360" w:lineRule="auto"/>
              <w:ind w:right="0" w:rightChars="0"/>
              <w:rPr>
                <w:rFonts w:hint="eastAsia" w:ascii="宋体" w:hAnsi="宋体" w:eastAsia="宋体" w:cs="宋体"/>
                <w:color w:val="auto"/>
                <w:sz w:val="24"/>
                <w:szCs w:val="24"/>
              </w:rPr>
            </w:pPr>
            <w:r>
              <w:rPr>
                <w:rFonts w:hint="eastAsia" w:ascii="宋体" w:hAnsi="宋体" w:eastAsia="宋体" w:cs="宋体"/>
                <w:color w:val="auto"/>
                <w:sz w:val="24"/>
                <w:szCs w:val="24"/>
              </w:rPr>
              <w:t>5、三角木；</w:t>
            </w:r>
          </w:p>
          <w:p w14:paraId="2AF65077">
            <w:pPr>
              <w:spacing w:line="360"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rPr>
              <w:t>弯道补光辅助照明系统</w:t>
            </w:r>
          </w:p>
        </w:tc>
        <w:tc>
          <w:tcPr>
            <w:tcW w:w="914" w:type="dxa"/>
            <w:vAlign w:val="center"/>
          </w:tcPr>
          <w:p w14:paraId="7FB643DF">
            <w:pPr>
              <w:ind w:left="0" w:leftChars="0" w:right="0" w:rightChars="0"/>
              <w:rPr>
                <w:rFonts w:hint="eastAsia" w:ascii="宋体" w:hAnsi="宋体" w:eastAsia="宋体" w:cs="宋体"/>
                <w:color w:val="auto"/>
                <w:sz w:val="24"/>
                <w:szCs w:val="24"/>
                <w:lang w:val="en-US" w:eastAsia="zh-CN"/>
              </w:rPr>
            </w:pPr>
            <w:r>
              <w:rPr>
                <w:rFonts w:hint="eastAsia" w:ascii="宋体" w:hAnsi="宋体" w:eastAsia="宋体" w:cs="宋体"/>
                <w:b w:val="0"/>
                <w:bCs/>
                <w:color w:val="auto"/>
                <w:sz w:val="24"/>
                <w:szCs w:val="24"/>
                <w:lang w:val="en-US" w:eastAsia="zh-CN"/>
              </w:rPr>
              <w:t>项号4</w:t>
            </w:r>
            <w:r>
              <w:rPr>
                <w:rFonts w:hint="eastAsia" w:cs="宋体"/>
                <w:b w:val="0"/>
                <w:bCs/>
                <w:color w:val="auto"/>
                <w:sz w:val="24"/>
                <w:szCs w:val="24"/>
                <w:lang w:val="en-US" w:eastAsia="zh-CN"/>
              </w:rPr>
              <w:t>4</w:t>
            </w:r>
          </w:p>
        </w:tc>
      </w:tr>
      <w:tr w14:paraId="55833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7" w:type="dxa"/>
            <w:vAlign w:val="center"/>
          </w:tcPr>
          <w:p w14:paraId="7EBBFC5E">
            <w:pPr>
              <w:spacing w:line="360" w:lineRule="auto"/>
              <w:jc w:val="center"/>
              <w:rPr>
                <w:rFonts w:hint="eastAsia" w:ascii="宋体" w:hAnsi="宋体" w:eastAsia="宋体" w:cs="宋体"/>
                <w:color w:val="auto"/>
                <w:sz w:val="24"/>
                <w:szCs w:val="24"/>
              </w:rPr>
            </w:pPr>
          </w:p>
        </w:tc>
        <w:tc>
          <w:tcPr>
            <w:tcW w:w="918" w:type="dxa"/>
            <w:vAlign w:val="center"/>
          </w:tcPr>
          <w:p w14:paraId="362803CD">
            <w:pPr>
              <w:spacing w:line="360" w:lineRule="auto"/>
              <w:jc w:val="center"/>
              <w:rPr>
                <w:rFonts w:hint="eastAsia" w:ascii="宋体" w:hAnsi="宋体" w:eastAsia="宋体" w:cs="宋体"/>
                <w:color w:val="auto"/>
                <w:sz w:val="24"/>
                <w:szCs w:val="24"/>
              </w:rPr>
            </w:pPr>
          </w:p>
        </w:tc>
        <w:tc>
          <w:tcPr>
            <w:tcW w:w="1200" w:type="dxa"/>
            <w:vAlign w:val="center"/>
          </w:tcPr>
          <w:p w14:paraId="4EA707F7">
            <w:pPr>
              <w:spacing w:line="360" w:lineRule="auto"/>
              <w:jc w:val="center"/>
              <w:rPr>
                <w:rFonts w:hint="eastAsia" w:ascii="宋体" w:hAnsi="宋体" w:eastAsia="宋体" w:cs="宋体"/>
                <w:color w:val="auto"/>
                <w:sz w:val="24"/>
                <w:szCs w:val="24"/>
              </w:rPr>
            </w:pPr>
          </w:p>
        </w:tc>
        <w:tc>
          <w:tcPr>
            <w:tcW w:w="6047" w:type="dxa"/>
            <w:vAlign w:val="center"/>
          </w:tcPr>
          <w:p w14:paraId="04F4ABE1">
            <w:pPr>
              <w:pStyle w:val="21"/>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w:t>
            </w:r>
            <w:r>
              <w:rPr>
                <w:rFonts w:hint="eastAsia" w:ascii="宋体" w:hAnsi="宋体" w:eastAsia="宋体" w:cs="宋体"/>
                <w:b w:val="0"/>
                <w:bCs/>
                <w:color w:val="auto"/>
                <w:sz w:val="24"/>
                <w:szCs w:val="24"/>
                <w:lang w:val="en-US" w:eastAsia="zh-CN"/>
              </w:rPr>
              <w:t>前后安装LED路牌，右侧安装LED腰牌,司机包围后面安装车内24寸LCD高亮液晶屏，带本地更新广告节目播放，与调度485协议通讯联动，实时显示线路信息，到站信息，质保3年。</w:t>
            </w:r>
          </w:p>
        </w:tc>
        <w:tc>
          <w:tcPr>
            <w:tcW w:w="914" w:type="dxa"/>
            <w:vAlign w:val="center"/>
          </w:tcPr>
          <w:p w14:paraId="48654744">
            <w:pPr>
              <w:ind w:left="0" w:leftChars="0" w:right="0" w:rightChars="0"/>
              <w:rPr>
                <w:rFonts w:hint="default"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项号4</w:t>
            </w:r>
            <w:r>
              <w:rPr>
                <w:rFonts w:hint="eastAsia" w:cs="宋体"/>
                <w:b w:val="0"/>
                <w:bCs/>
                <w:color w:val="auto"/>
                <w:sz w:val="24"/>
                <w:szCs w:val="24"/>
                <w:lang w:val="en-US" w:eastAsia="zh-CN"/>
              </w:rPr>
              <w:t>5</w:t>
            </w:r>
          </w:p>
        </w:tc>
      </w:tr>
    </w:tbl>
    <w:p w14:paraId="2B72ACA0">
      <w:pPr>
        <w:pStyle w:val="26"/>
        <w:spacing w:before="105" w:after="150"/>
        <w:jc w:val="left"/>
        <w:rPr>
          <w:rFonts w:hint="eastAsia" w:ascii="Times New Roman" w:hAnsi="Times New Roman"/>
          <w:b w:val="0"/>
          <w:bCs/>
          <w:color w:val="auto"/>
          <w:kern w:val="2"/>
          <w:sz w:val="24"/>
          <w:szCs w:val="32"/>
          <w:lang w:val="en-US" w:eastAsia="zh-CN" w:bidi="ar-SA"/>
        </w:rPr>
      </w:pPr>
      <w:r>
        <w:rPr>
          <w:rFonts w:ascii="宋体" w:hAnsi="宋体" w:eastAsia="宋体" w:cs="宋体"/>
          <w:b/>
          <w:color w:val="auto"/>
          <w:sz w:val="24"/>
        </w:rPr>
        <w:t>注：以上参数要求涉及固定尺寸、重量、体积的内容允许±2%偏差（若参数要求中已注明偏差范围的以参数要求为准）</w:t>
      </w:r>
    </w:p>
    <w:p w14:paraId="76147111">
      <w:pPr>
        <w:pStyle w:val="4"/>
        <w:spacing w:before="162"/>
        <w:ind w:left="0" w:leftChars="0" w:firstLine="0" w:firstLineChars="0"/>
        <w:rPr>
          <w:rFonts w:hint="eastAsia" w:asciiTheme="minorEastAsia" w:hAnsiTheme="minorEastAsia" w:eastAsiaTheme="minorEastAsia" w:cstheme="minorEastAsia"/>
          <w:color w:val="auto"/>
        </w:rPr>
      </w:pPr>
      <w:bookmarkStart w:id="37" w:name="三、商务要求（以“★”标示的内容为不允许负偏离的实质性要求）"/>
      <w:bookmarkEnd w:id="37"/>
      <w:r>
        <w:rPr>
          <w:rFonts w:hint="eastAsia" w:asciiTheme="minorEastAsia" w:hAnsiTheme="minorEastAsia" w:eastAsiaTheme="minorEastAsia" w:cstheme="minorEastAsia"/>
          <w:color w:val="auto"/>
        </w:rPr>
        <w:t>三、商务要求（以“★”标示的内容为不允许负偏离的实质性要求）</w:t>
      </w:r>
    </w:p>
    <w:p w14:paraId="3D01ADE3">
      <w:pPr>
        <w:spacing w:before="211"/>
        <w:ind w:left="220" w:right="0" w:firstLine="0"/>
        <w:jc w:val="left"/>
        <w:rPr>
          <w:rFonts w:hint="eastAsia" w:asciiTheme="minorEastAsia" w:hAnsiTheme="minorEastAsia" w:eastAsiaTheme="minorEastAsia" w:cstheme="minorEastAsia"/>
          <w:b/>
          <w:color w:val="auto"/>
          <w:sz w:val="28"/>
        </w:rPr>
      </w:pPr>
      <w:r>
        <w:rPr>
          <w:rFonts w:hint="eastAsia" w:asciiTheme="minorEastAsia" w:hAnsiTheme="minorEastAsia" w:eastAsiaTheme="minorEastAsia" w:cstheme="minorEastAsia"/>
          <w:b/>
          <w:color w:val="auto"/>
          <w:sz w:val="24"/>
          <w:szCs w:val="24"/>
        </w:rPr>
        <w:t>采购包1</w:t>
      </w:r>
    </w:p>
    <w:tbl>
      <w:tblPr>
        <w:tblStyle w:val="18"/>
        <w:tblW w:w="5000" w:type="pct"/>
        <w:tblInd w:w="-12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65"/>
        <w:gridCol w:w="1144"/>
        <w:gridCol w:w="1511"/>
        <w:gridCol w:w="6550"/>
      </w:tblGrid>
      <w:tr w14:paraId="58B191D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30"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34E270A">
            <w:pPr>
              <w:widowControl/>
              <w:wordWrap w:val="0"/>
              <w:spacing w:line="480" w:lineRule="atLeast"/>
              <w:jc w:val="left"/>
              <w:rPr>
                <w:rFonts w:hint="eastAsia" w:ascii="宋体" w:hAnsi="宋体" w:cs="宋体"/>
                <w:b/>
                <w:bCs/>
                <w:color w:val="auto"/>
                <w:sz w:val="24"/>
              </w:rPr>
            </w:pPr>
            <w:r>
              <w:rPr>
                <w:rFonts w:hint="eastAsia" w:ascii="宋体" w:hAnsi="宋体" w:cs="宋体"/>
                <w:b/>
                <w:bCs/>
                <w:color w:val="auto"/>
                <w:kern w:val="0"/>
                <w:sz w:val="24"/>
                <w:lang w:bidi="ar"/>
              </w:rPr>
              <w:t>序号</w:t>
            </w:r>
          </w:p>
        </w:tc>
        <w:tc>
          <w:tcPr>
            <w:tcW w:w="56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3846206">
            <w:pPr>
              <w:widowControl/>
              <w:wordWrap w:val="0"/>
              <w:spacing w:line="480" w:lineRule="atLeast"/>
              <w:jc w:val="left"/>
              <w:rPr>
                <w:rFonts w:hint="eastAsia" w:ascii="宋体" w:hAnsi="宋体" w:cs="宋体"/>
                <w:b/>
                <w:bCs/>
                <w:color w:val="auto"/>
                <w:sz w:val="24"/>
              </w:rPr>
            </w:pPr>
            <w:r>
              <w:rPr>
                <w:rFonts w:hint="eastAsia" w:ascii="宋体" w:hAnsi="宋体" w:cs="宋体"/>
                <w:b/>
                <w:bCs/>
                <w:color w:val="auto"/>
                <w:kern w:val="0"/>
                <w:sz w:val="24"/>
                <w:lang w:bidi="ar"/>
              </w:rPr>
              <w:t>参数性质</w:t>
            </w:r>
          </w:p>
        </w:tc>
        <w:tc>
          <w:tcPr>
            <w:tcW w:w="750"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AAD69C1">
            <w:pPr>
              <w:widowControl/>
              <w:wordWrap w:val="0"/>
              <w:spacing w:line="480" w:lineRule="atLeast"/>
              <w:jc w:val="left"/>
              <w:rPr>
                <w:rFonts w:hint="eastAsia" w:ascii="宋体" w:hAnsi="宋体" w:cs="宋体"/>
                <w:b/>
                <w:bCs/>
                <w:color w:val="auto"/>
                <w:sz w:val="24"/>
              </w:rPr>
            </w:pPr>
            <w:r>
              <w:rPr>
                <w:rFonts w:hint="eastAsia" w:ascii="宋体" w:hAnsi="宋体" w:cs="宋体"/>
                <w:b/>
                <w:bCs/>
                <w:color w:val="auto"/>
                <w:kern w:val="0"/>
                <w:sz w:val="24"/>
                <w:lang w:bidi="ar"/>
              </w:rPr>
              <w:t>类型</w:t>
            </w:r>
          </w:p>
        </w:tc>
        <w:tc>
          <w:tcPr>
            <w:tcW w:w="3252"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1D09DCF">
            <w:pPr>
              <w:widowControl/>
              <w:wordWrap w:val="0"/>
              <w:spacing w:line="480" w:lineRule="atLeast"/>
              <w:jc w:val="left"/>
              <w:rPr>
                <w:rFonts w:hint="eastAsia" w:ascii="宋体" w:hAnsi="宋体" w:cs="宋体"/>
                <w:b/>
                <w:bCs/>
                <w:color w:val="auto"/>
                <w:sz w:val="24"/>
              </w:rPr>
            </w:pPr>
            <w:r>
              <w:rPr>
                <w:rFonts w:hint="eastAsia" w:ascii="宋体" w:hAnsi="宋体" w:cs="宋体"/>
                <w:b/>
                <w:bCs/>
                <w:color w:val="auto"/>
                <w:kern w:val="0"/>
                <w:sz w:val="24"/>
                <w:lang w:bidi="ar"/>
              </w:rPr>
              <w:t>要求</w:t>
            </w:r>
          </w:p>
        </w:tc>
      </w:tr>
      <w:tr w14:paraId="0202A33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30"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B62C4A3">
            <w:pPr>
              <w:widowControl/>
              <w:wordWrap w:val="0"/>
              <w:spacing w:line="480" w:lineRule="atLeast"/>
              <w:jc w:val="center"/>
              <w:rPr>
                <w:rFonts w:hint="eastAsia" w:ascii="宋体" w:hAnsi="宋体" w:cs="宋体"/>
                <w:color w:val="auto"/>
                <w:sz w:val="24"/>
              </w:rPr>
            </w:pPr>
            <w:r>
              <w:rPr>
                <w:rFonts w:hint="eastAsia" w:ascii="宋体" w:hAnsi="宋体" w:cs="宋体"/>
                <w:color w:val="auto"/>
                <w:kern w:val="0"/>
                <w:sz w:val="24"/>
                <w:lang w:bidi="ar"/>
              </w:rPr>
              <w:t>1</w:t>
            </w:r>
          </w:p>
        </w:tc>
        <w:tc>
          <w:tcPr>
            <w:tcW w:w="56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BF37D66">
            <w:pPr>
              <w:rPr>
                <w:rFonts w:hint="eastAsia" w:ascii="宋体" w:hAnsi="宋体" w:cs="宋体"/>
                <w:color w:val="auto"/>
                <w:sz w:val="24"/>
              </w:rPr>
            </w:pPr>
            <w:r>
              <w:rPr>
                <w:rFonts w:hint="eastAsia" w:ascii="宋体" w:hAnsi="宋体" w:cs="宋体"/>
                <w:color w:val="auto"/>
                <w:sz w:val="24"/>
              </w:rPr>
              <w:t>★</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BBE67C6">
            <w:pPr>
              <w:widowControl/>
              <w:wordWrap w:val="0"/>
              <w:spacing w:line="480" w:lineRule="atLeast"/>
              <w:jc w:val="left"/>
              <w:rPr>
                <w:rFonts w:hint="eastAsia" w:ascii="宋体" w:hAnsi="宋体" w:cs="宋体"/>
                <w:color w:val="auto"/>
                <w:sz w:val="24"/>
              </w:rPr>
            </w:pPr>
            <w:r>
              <w:rPr>
                <w:rFonts w:hint="eastAsia" w:ascii="宋体" w:hAnsi="宋体" w:cs="宋体"/>
                <w:color w:val="auto"/>
                <w:kern w:val="0"/>
                <w:sz w:val="24"/>
                <w:lang w:bidi="ar"/>
              </w:rPr>
              <w:t>交货地点</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7DA58C8">
            <w:pPr>
              <w:widowControl/>
              <w:wordWrap w:val="0"/>
              <w:spacing w:line="480" w:lineRule="atLeast"/>
              <w:jc w:val="left"/>
              <w:rPr>
                <w:rFonts w:hint="eastAsia" w:ascii="宋体" w:hAnsi="宋体" w:cs="宋体"/>
                <w:color w:val="auto"/>
                <w:sz w:val="24"/>
              </w:rPr>
            </w:pPr>
            <w:r>
              <w:rPr>
                <w:rFonts w:hint="eastAsia" w:cs="宋体"/>
                <w:color w:val="auto"/>
                <w:sz w:val="24"/>
                <w:lang w:eastAsia="zh-CN"/>
              </w:rPr>
              <w:t>福安市公共交通有限公司</w:t>
            </w:r>
            <w:r>
              <w:rPr>
                <w:rFonts w:hint="eastAsia" w:ascii="宋体" w:hAnsi="宋体" w:cs="宋体"/>
                <w:color w:val="auto"/>
                <w:sz w:val="24"/>
              </w:rPr>
              <w:t>指定地点</w:t>
            </w:r>
          </w:p>
        </w:tc>
      </w:tr>
      <w:tr w14:paraId="0D28665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2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99015AC">
            <w:pPr>
              <w:widowControl/>
              <w:wordWrap w:val="0"/>
              <w:spacing w:line="480" w:lineRule="atLeast"/>
              <w:jc w:val="center"/>
              <w:rPr>
                <w:rFonts w:hint="eastAsia" w:ascii="宋体" w:hAnsi="宋体" w:cs="宋体"/>
                <w:color w:val="auto"/>
                <w:sz w:val="24"/>
              </w:rPr>
            </w:pPr>
            <w:r>
              <w:rPr>
                <w:rFonts w:hint="eastAsia" w:ascii="宋体" w:hAnsi="宋体" w:cs="宋体"/>
                <w:color w:val="auto"/>
                <w:kern w:val="0"/>
                <w:sz w:val="24"/>
                <w:lang w:bidi="ar"/>
              </w:rPr>
              <w:t>2</w:t>
            </w:r>
          </w:p>
        </w:tc>
        <w:tc>
          <w:tcPr>
            <w:tcW w:w="56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4612A39">
            <w:pPr>
              <w:rPr>
                <w:rFonts w:hint="eastAsia" w:ascii="宋体" w:hAnsi="宋体" w:cs="宋体"/>
                <w:color w:val="auto"/>
                <w:sz w:val="24"/>
              </w:rPr>
            </w:pPr>
            <w:r>
              <w:rPr>
                <w:rFonts w:hint="eastAsia" w:ascii="宋体" w:hAnsi="宋体" w:cs="宋体"/>
                <w:color w:val="auto"/>
                <w:sz w:val="24"/>
              </w:rPr>
              <w:t>★</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382A238">
            <w:pPr>
              <w:widowControl/>
              <w:wordWrap w:val="0"/>
              <w:spacing w:line="480" w:lineRule="atLeast"/>
              <w:jc w:val="left"/>
              <w:rPr>
                <w:rFonts w:hint="eastAsia" w:ascii="宋体" w:hAnsi="宋体" w:cs="宋体"/>
                <w:color w:val="auto"/>
                <w:sz w:val="24"/>
              </w:rPr>
            </w:pPr>
            <w:r>
              <w:rPr>
                <w:rFonts w:hint="eastAsia" w:ascii="宋体" w:hAnsi="宋体" w:cs="宋体"/>
                <w:color w:val="auto"/>
                <w:kern w:val="0"/>
                <w:sz w:val="24"/>
                <w:lang w:bidi="ar"/>
              </w:rPr>
              <w:t>交货时间</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D11D41B">
            <w:pPr>
              <w:widowControl/>
              <w:wordWrap w:val="0"/>
              <w:spacing w:line="480" w:lineRule="atLeast"/>
              <w:jc w:val="left"/>
              <w:rPr>
                <w:rFonts w:hint="eastAsia" w:ascii="宋体" w:hAnsi="宋体" w:cs="宋体"/>
                <w:color w:val="auto"/>
                <w:sz w:val="24"/>
              </w:rPr>
            </w:pPr>
            <w:r>
              <w:rPr>
                <w:rFonts w:hint="eastAsia" w:ascii="宋体" w:hAnsi="宋体" w:cs="宋体"/>
                <w:color w:val="auto"/>
                <w:sz w:val="24"/>
              </w:rPr>
              <w:t>合同签订后45天内交货</w:t>
            </w:r>
          </w:p>
        </w:tc>
      </w:tr>
      <w:tr w14:paraId="4C67C64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2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74DFE23">
            <w:pPr>
              <w:widowControl/>
              <w:wordWrap w:val="0"/>
              <w:spacing w:line="480" w:lineRule="atLeast"/>
              <w:jc w:val="center"/>
              <w:rPr>
                <w:rFonts w:hint="eastAsia" w:ascii="宋体" w:hAnsi="宋体" w:cs="宋体"/>
                <w:color w:val="auto"/>
                <w:sz w:val="24"/>
              </w:rPr>
            </w:pPr>
            <w:r>
              <w:rPr>
                <w:rFonts w:hint="eastAsia" w:ascii="宋体" w:hAnsi="宋体" w:cs="宋体"/>
                <w:color w:val="auto"/>
                <w:kern w:val="0"/>
                <w:sz w:val="24"/>
                <w:lang w:bidi="ar"/>
              </w:rPr>
              <w:t>3</w:t>
            </w:r>
          </w:p>
        </w:tc>
        <w:tc>
          <w:tcPr>
            <w:tcW w:w="56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6E7B77F">
            <w:pPr>
              <w:rPr>
                <w:rFonts w:hint="eastAsia" w:ascii="宋体" w:hAnsi="宋体" w:cs="宋体"/>
                <w:color w:val="auto"/>
                <w:sz w:val="24"/>
              </w:rPr>
            </w:pPr>
            <w:r>
              <w:rPr>
                <w:rFonts w:hint="eastAsia" w:ascii="宋体" w:hAnsi="宋体" w:cs="宋体"/>
                <w:color w:val="auto"/>
                <w:sz w:val="24"/>
              </w:rPr>
              <w:t>★</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BAEF7D0">
            <w:pPr>
              <w:widowControl/>
              <w:wordWrap w:val="0"/>
              <w:spacing w:line="480" w:lineRule="atLeast"/>
              <w:jc w:val="left"/>
              <w:rPr>
                <w:rFonts w:hint="eastAsia" w:ascii="宋体" w:hAnsi="宋体" w:cs="宋体"/>
                <w:color w:val="auto"/>
                <w:sz w:val="24"/>
              </w:rPr>
            </w:pPr>
            <w:r>
              <w:rPr>
                <w:rFonts w:hint="eastAsia" w:ascii="宋体" w:hAnsi="宋体" w:cs="宋体"/>
                <w:color w:val="auto"/>
                <w:kern w:val="0"/>
                <w:sz w:val="24"/>
                <w:lang w:bidi="ar"/>
              </w:rPr>
              <w:t>是否邀请投标人验收</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ED3BD3C">
            <w:pPr>
              <w:widowControl/>
              <w:wordWrap w:val="0"/>
              <w:spacing w:line="480" w:lineRule="atLeast"/>
              <w:jc w:val="left"/>
              <w:rPr>
                <w:rFonts w:hint="eastAsia" w:ascii="宋体" w:hAnsi="宋体" w:cs="宋体"/>
                <w:color w:val="auto"/>
                <w:sz w:val="24"/>
              </w:rPr>
            </w:pPr>
            <w:r>
              <w:rPr>
                <w:rFonts w:hint="eastAsia" w:ascii="宋体" w:hAnsi="宋体" w:cs="宋体"/>
                <w:color w:val="auto"/>
                <w:kern w:val="0"/>
                <w:sz w:val="24"/>
                <w:lang w:bidi="ar"/>
              </w:rPr>
              <w:t>不邀请投标人验收</w:t>
            </w:r>
          </w:p>
        </w:tc>
      </w:tr>
      <w:tr w14:paraId="5DC1C45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30"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A987915">
            <w:pPr>
              <w:widowControl/>
              <w:wordWrap w:val="0"/>
              <w:spacing w:line="480" w:lineRule="atLeast"/>
              <w:jc w:val="center"/>
              <w:rPr>
                <w:rFonts w:hint="eastAsia" w:ascii="宋体" w:hAnsi="宋体" w:cs="宋体"/>
                <w:color w:val="auto"/>
                <w:sz w:val="24"/>
              </w:rPr>
            </w:pPr>
            <w:r>
              <w:rPr>
                <w:rFonts w:hint="eastAsia" w:ascii="宋体" w:hAnsi="宋体" w:cs="宋体"/>
                <w:color w:val="auto"/>
                <w:kern w:val="0"/>
                <w:sz w:val="24"/>
                <w:lang w:bidi="ar"/>
              </w:rPr>
              <w:t>4</w:t>
            </w:r>
          </w:p>
        </w:tc>
        <w:tc>
          <w:tcPr>
            <w:tcW w:w="56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E11D291">
            <w:pPr>
              <w:rPr>
                <w:rFonts w:hint="eastAsia" w:ascii="宋体" w:hAnsi="宋体" w:cs="宋体"/>
                <w:color w:val="auto"/>
                <w:sz w:val="24"/>
              </w:rPr>
            </w:pPr>
            <w:r>
              <w:rPr>
                <w:rFonts w:hint="eastAsia" w:ascii="宋体" w:hAnsi="宋体" w:cs="宋体"/>
                <w:color w:val="auto"/>
                <w:sz w:val="24"/>
              </w:rPr>
              <w:t>★</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4AD1568">
            <w:pPr>
              <w:widowControl/>
              <w:wordWrap w:val="0"/>
              <w:spacing w:line="480" w:lineRule="atLeast"/>
              <w:jc w:val="left"/>
              <w:rPr>
                <w:rFonts w:hint="eastAsia" w:ascii="宋体" w:hAnsi="宋体" w:cs="宋体"/>
                <w:color w:val="auto"/>
                <w:sz w:val="24"/>
              </w:rPr>
            </w:pPr>
            <w:r>
              <w:rPr>
                <w:rFonts w:hint="eastAsia" w:ascii="宋体" w:hAnsi="宋体" w:cs="宋体"/>
                <w:color w:val="auto"/>
                <w:kern w:val="0"/>
                <w:sz w:val="24"/>
                <w:lang w:bidi="ar"/>
              </w:rPr>
              <w:t>合同支付方式</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4B2DD96">
            <w:pPr>
              <w:pStyle w:val="14"/>
              <w:widowControl/>
              <w:wordWrap w:val="0"/>
              <w:spacing w:before="0" w:beforeAutospacing="0" w:after="0" w:afterAutospacing="0" w:line="480" w:lineRule="atLeast"/>
              <w:rPr>
                <w:rFonts w:hint="eastAsia" w:ascii="宋体" w:hAnsi="宋体" w:cs="宋体"/>
                <w:color w:val="auto"/>
              </w:rPr>
            </w:pPr>
            <w:r>
              <w:rPr>
                <w:rFonts w:hint="eastAsia" w:ascii="宋体" w:hAnsi="宋体" w:cs="宋体"/>
                <w:color w:val="auto"/>
              </w:rPr>
              <w:t>合同签订后10个工作日内支付合同金额的</w:t>
            </w:r>
            <w:r>
              <w:rPr>
                <w:rFonts w:hint="eastAsia" w:cs="宋体"/>
                <w:color w:val="auto"/>
                <w:lang w:val="en-US" w:eastAsia="zh-CN"/>
              </w:rPr>
              <w:t>30</w:t>
            </w:r>
            <w:r>
              <w:rPr>
                <w:rFonts w:hint="eastAsia" w:ascii="宋体" w:hAnsi="宋体" w:cs="宋体"/>
                <w:color w:val="auto"/>
              </w:rPr>
              <w:t>%；货物全部到货</w:t>
            </w:r>
            <w:r>
              <w:rPr>
                <w:rFonts w:hint="eastAsia" w:cs="宋体"/>
                <w:color w:val="auto"/>
                <w:lang w:val="en-US" w:eastAsia="zh-CN"/>
              </w:rPr>
              <w:t>完成车辆上牌（乙方配合甲方上牌）</w:t>
            </w:r>
            <w:r>
              <w:rPr>
                <w:rFonts w:hint="eastAsia" w:ascii="宋体" w:hAnsi="宋体" w:cs="宋体"/>
                <w:color w:val="auto"/>
              </w:rPr>
              <w:t>且验收合格后10个工作日内支付剩余</w:t>
            </w:r>
            <w:r>
              <w:rPr>
                <w:rFonts w:hint="eastAsia" w:cs="宋体"/>
                <w:color w:val="auto"/>
                <w:lang w:val="en-US" w:eastAsia="zh-CN"/>
              </w:rPr>
              <w:t>70</w:t>
            </w:r>
            <w:r>
              <w:rPr>
                <w:rFonts w:hint="eastAsia" w:ascii="宋体" w:hAnsi="宋体" w:cs="宋体"/>
                <w:color w:val="auto"/>
              </w:rPr>
              <w:t>%的合同款。</w:t>
            </w:r>
          </w:p>
        </w:tc>
      </w:tr>
      <w:tr w14:paraId="3FDD322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30"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8ECB042">
            <w:pPr>
              <w:widowControl/>
              <w:wordWrap w:val="0"/>
              <w:spacing w:line="480" w:lineRule="atLeast"/>
              <w:jc w:val="center"/>
              <w:rPr>
                <w:rFonts w:hint="eastAsia" w:ascii="宋体" w:hAnsi="宋体" w:eastAsia="宋体" w:cs="宋体"/>
                <w:color w:val="auto"/>
                <w:kern w:val="0"/>
                <w:sz w:val="24"/>
                <w:lang w:val="en-US" w:eastAsia="zh-CN" w:bidi="ar"/>
              </w:rPr>
            </w:pPr>
            <w:r>
              <w:rPr>
                <w:rFonts w:hint="eastAsia" w:cs="宋体"/>
                <w:color w:val="auto"/>
                <w:kern w:val="0"/>
                <w:sz w:val="24"/>
                <w:lang w:val="en-US" w:eastAsia="zh-CN" w:bidi="ar"/>
              </w:rPr>
              <w:t>5</w:t>
            </w:r>
          </w:p>
        </w:tc>
        <w:tc>
          <w:tcPr>
            <w:tcW w:w="1122"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top"/>
          </w:tcPr>
          <w:p w14:paraId="77B68C28">
            <w:pPr>
              <w:pStyle w:val="25"/>
              <w:spacing w:before="81" w:line="364" w:lineRule="auto"/>
              <w:ind w:left="107" w:leftChars="0" w:right="95" w:rightChars="0"/>
              <w:rPr>
                <w:rFonts w:hint="eastAsia" w:ascii="宋体" w:hAnsi="宋体" w:cs="宋体"/>
                <w:color w:val="auto"/>
                <w:sz w:val="24"/>
              </w:rPr>
            </w:pPr>
            <w:r>
              <w:rPr>
                <w:rFonts w:hint="eastAsia" w:asciiTheme="minorEastAsia" w:hAnsiTheme="minorEastAsia" w:eastAsiaTheme="minorEastAsia" w:cstheme="minorEastAsia"/>
                <w:color w:val="auto"/>
                <w:sz w:val="24"/>
              </w:rPr>
              <w:t>★</w:t>
            </w:r>
          </w:p>
        </w:tc>
        <w:tc>
          <w:tcPr>
            <w:tcW w:w="1482"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top"/>
          </w:tcPr>
          <w:p w14:paraId="0B076BFA">
            <w:pPr>
              <w:pStyle w:val="25"/>
              <w:spacing w:before="81" w:line="364" w:lineRule="auto"/>
              <w:ind w:left="107" w:leftChars="0" w:right="95" w:rightChars="0"/>
              <w:rPr>
                <w:rFonts w:hint="eastAsia" w:ascii="宋体" w:hAnsi="宋体" w:cs="宋体"/>
                <w:color w:val="auto"/>
                <w:kern w:val="0"/>
                <w:sz w:val="24"/>
                <w:lang w:bidi="ar"/>
              </w:rPr>
            </w:pPr>
            <w:r>
              <w:rPr>
                <w:rFonts w:hint="eastAsia" w:asciiTheme="minorEastAsia" w:hAnsiTheme="minorEastAsia" w:eastAsiaTheme="minorEastAsia" w:cstheme="minorEastAsia"/>
                <w:color w:val="auto"/>
                <w:sz w:val="24"/>
              </w:rPr>
              <w:t>履约保证金</w:t>
            </w:r>
          </w:p>
        </w:tc>
        <w:tc>
          <w:tcPr>
            <w:tcW w:w="6425"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top"/>
          </w:tcPr>
          <w:p w14:paraId="7144E359">
            <w:pPr>
              <w:spacing w:line="360" w:lineRule="auto"/>
              <w:rPr>
                <w:rFonts w:hint="eastAsia" w:cs="宋体"/>
                <w:color w:val="auto"/>
                <w:kern w:val="0"/>
                <w:sz w:val="24"/>
                <w:szCs w:val="22"/>
                <w:lang w:val="en-US" w:eastAsia="zh-CN" w:bidi="ar"/>
              </w:rPr>
            </w:pPr>
            <w:r>
              <w:rPr>
                <w:rFonts w:hint="eastAsia" w:ascii="宋体" w:hAnsi="宋体" w:eastAsia="宋体" w:cs="宋体"/>
                <w:color w:val="auto"/>
                <w:kern w:val="0"/>
                <w:sz w:val="24"/>
                <w:szCs w:val="22"/>
                <w:lang w:val="en-US" w:eastAsia="zh-CN" w:bidi="ar"/>
              </w:rPr>
              <w:t>缴纳, 本采购包履约保证金为合同金额的10%</w:t>
            </w:r>
            <w:r>
              <w:rPr>
                <w:rFonts w:hint="eastAsia" w:cs="宋体"/>
                <w:color w:val="auto"/>
                <w:kern w:val="0"/>
                <w:sz w:val="24"/>
                <w:szCs w:val="22"/>
                <w:lang w:val="en-US" w:eastAsia="zh-CN" w:bidi="ar"/>
              </w:rPr>
              <w:t>；</w:t>
            </w:r>
          </w:p>
          <w:p w14:paraId="4FF41CE9">
            <w:pPr>
              <w:spacing w:line="360" w:lineRule="auto"/>
              <w:rPr>
                <w:rFonts w:hint="eastAsia" w:ascii="宋体" w:hAnsi="宋体" w:eastAsia="宋体" w:cs="宋体"/>
                <w:color w:val="auto"/>
                <w:kern w:val="0"/>
                <w:sz w:val="24"/>
                <w:szCs w:val="22"/>
                <w:lang w:val="en-US" w:eastAsia="zh-CN" w:bidi="ar"/>
              </w:rPr>
            </w:pPr>
            <w:r>
              <w:rPr>
                <w:rFonts w:hint="eastAsia" w:ascii="宋体" w:hAnsi="宋体" w:eastAsia="宋体" w:cs="宋体"/>
                <w:color w:val="auto"/>
                <w:kern w:val="0"/>
                <w:sz w:val="24"/>
                <w:szCs w:val="22"/>
                <w:lang w:val="en-US" w:eastAsia="zh-CN" w:bidi="ar"/>
              </w:rPr>
              <w:t>说明：中标人须在合同签订后7个工作日内向采购人缴纳合同金额的10%作为履约保证金；履约保证金以非现金形式（包括转账、支票、汇票、本票或者金融机构、担保机构出具的保函等）向采购人提交履约保证金。</w:t>
            </w:r>
          </w:p>
          <w:p w14:paraId="60CB1B21">
            <w:pPr>
              <w:spacing w:line="360" w:lineRule="auto"/>
              <w:rPr>
                <w:rFonts w:hint="eastAsia" w:ascii="宋体" w:hAnsi="宋体" w:cs="宋体"/>
                <w:color w:val="auto"/>
              </w:rPr>
            </w:pPr>
            <w:r>
              <w:rPr>
                <w:rFonts w:hint="eastAsia" w:ascii="宋体" w:hAnsi="宋体" w:eastAsia="宋体" w:cs="宋体"/>
                <w:color w:val="auto"/>
                <w:kern w:val="0"/>
                <w:sz w:val="24"/>
                <w:szCs w:val="22"/>
                <w:lang w:val="en-US" w:eastAsia="zh-CN" w:bidi="ar"/>
              </w:rPr>
              <w:t>履约保证金退还：于车辆验收合格后15个工作日内且无违约情况下无息退还。</w:t>
            </w:r>
          </w:p>
        </w:tc>
      </w:tr>
    </w:tbl>
    <w:p w14:paraId="4DFCB2F6">
      <w:pPr>
        <w:spacing w:before="211"/>
        <w:ind w:left="220" w:right="0" w:firstLine="0"/>
        <w:jc w:val="left"/>
        <w:rPr>
          <w:rFonts w:hint="eastAsia" w:asciiTheme="minorEastAsia" w:hAnsiTheme="minorEastAsia" w:eastAsiaTheme="minorEastAsia" w:cstheme="minorEastAsia"/>
          <w:b/>
          <w:color w:val="auto"/>
          <w:sz w:val="28"/>
          <w:lang w:eastAsia="zh-CN"/>
        </w:rPr>
      </w:pPr>
      <w:r>
        <w:rPr>
          <w:rFonts w:hint="eastAsia" w:asciiTheme="minorEastAsia" w:hAnsiTheme="minorEastAsia" w:eastAsiaTheme="minorEastAsia" w:cstheme="minorEastAsia"/>
          <w:b/>
          <w:color w:val="auto"/>
          <w:sz w:val="24"/>
          <w:szCs w:val="24"/>
        </w:rPr>
        <w:t>采购包</w:t>
      </w:r>
      <w:r>
        <w:rPr>
          <w:rFonts w:hint="eastAsia" w:asciiTheme="minorEastAsia" w:hAnsiTheme="minorEastAsia" w:eastAsiaTheme="minorEastAsia" w:cstheme="minorEastAsia"/>
          <w:b/>
          <w:color w:val="auto"/>
          <w:sz w:val="24"/>
          <w:szCs w:val="24"/>
          <w:lang w:val="en-US" w:eastAsia="zh-CN"/>
        </w:rPr>
        <w:t>2</w:t>
      </w:r>
    </w:p>
    <w:tbl>
      <w:tblPr>
        <w:tblStyle w:val="18"/>
        <w:tblW w:w="5000" w:type="pct"/>
        <w:tblInd w:w="-12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65"/>
        <w:gridCol w:w="1144"/>
        <w:gridCol w:w="1511"/>
        <w:gridCol w:w="6550"/>
      </w:tblGrid>
      <w:tr w14:paraId="6689FBF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30"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CD60D22">
            <w:pPr>
              <w:widowControl/>
              <w:wordWrap w:val="0"/>
              <w:spacing w:line="480" w:lineRule="atLeast"/>
              <w:jc w:val="left"/>
              <w:rPr>
                <w:rFonts w:hint="eastAsia" w:ascii="宋体" w:hAnsi="宋体" w:cs="宋体"/>
                <w:b/>
                <w:bCs/>
                <w:color w:val="auto"/>
                <w:sz w:val="24"/>
              </w:rPr>
            </w:pPr>
            <w:r>
              <w:rPr>
                <w:rFonts w:hint="eastAsia" w:ascii="宋体" w:hAnsi="宋体" w:cs="宋体"/>
                <w:b/>
                <w:bCs/>
                <w:color w:val="auto"/>
                <w:kern w:val="0"/>
                <w:sz w:val="24"/>
                <w:lang w:bidi="ar"/>
              </w:rPr>
              <w:t>序号</w:t>
            </w:r>
          </w:p>
        </w:tc>
        <w:tc>
          <w:tcPr>
            <w:tcW w:w="56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E81C5AE">
            <w:pPr>
              <w:widowControl/>
              <w:wordWrap w:val="0"/>
              <w:spacing w:line="480" w:lineRule="atLeast"/>
              <w:jc w:val="left"/>
              <w:rPr>
                <w:rFonts w:hint="eastAsia" w:ascii="宋体" w:hAnsi="宋体" w:cs="宋体"/>
                <w:b/>
                <w:bCs/>
                <w:color w:val="auto"/>
                <w:sz w:val="24"/>
              </w:rPr>
            </w:pPr>
            <w:r>
              <w:rPr>
                <w:rFonts w:hint="eastAsia" w:ascii="宋体" w:hAnsi="宋体" w:cs="宋体"/>
                <w:b/>
                <w:bCs/>
                <w:color w:val="auto"/>
                <w:kern w:val="0"/>
                <w:sz w:val="24"/>
                <w:lang w:bidi="ar"/>
              </w:rPr>
              <w:t>参数性质</w:t>
            </w:r>
          </w:p>
        </w:tc>
        <w:tc>
          <w:tcPr>
            <w:tcW w:w="750"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2C8F938">
            <w:pPr>
              <w:widowControl/>
              <w:wordWrap w:val="0"/>
              <w:spacing w:line="480" w:lineRule="atLeast"/>
              <w:jc w:val="left"/>
              <w:rPr>
                <w:rFonts w:hint="eastAsia" w:ascii="宋体" w:hAnsi="宋体" w:cs="宋体"/>
                <w:b/>
                <w:bCs/>
                <w:color w:val="auto"/>
                <w:sz w:val="24"/>
              </w:rPr>
            </w:pPr>
            <w:r>
              <w:rPr>
                <w:rFonts w:hint="eastAsia" w:ascii="宋体" w:hAnsi="宋体" w:cs="宋体"/>
                <w:b/>
                <w:bCs/>
                <w:color w:val="auto"/>
                <w:kern w:val="0"/>
                <w:sz w:val="24"/>
                <w:lang w:bidi="ar"/>
              </w:rPr>
              <w:t>类型</w:t>
            </w:r>
          </w:p>
        </w:tc>
        <w:tc>
          <w:tcPr>
            <w:tcW w:w="3252"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C449EC4">
            <w:pPr>
              <w:widowControl/>
              <w:wordWrap w:val="0"/>
              <w:spacing w:line="480" w:lineRule="atLeast"/>
              <w:jc w:val="left"/>
              <w:rPr>
                <w:rFonts w:hint="eastAsia" w:ascii="宋体" w:hAnsi="宋体" w:cs="宋体"/>
                <w:b/>
                <w:bCs/>
                <w:color w:val="auto"/>
                <w:sz w:val="24"/>
              </w:rPr>
            </w:pPr>
            <w:r>
              <w:rPr>
                <w:rFonts w:hint="eastAsia" w:ascii="宋体" w:hAnsi="宋体" w:cs="宋体"/>
                <w:b/>
                <w:bCs/>
                <w:color w:val="auto"/>
                <w:kern w:val="0"/>
                <w:sz w:val="24"/>
                <w:lang w:bidi="ar"/>
              </w:rPr>
              <w:t>要求</w:t>
            </w:r>
          </w:p>
        </w:tc>
      </w:tr>
      <w:tr w14:paraId="642523E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30"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162455E">
            <w:pPr>
              <w:widowControl/>
              <w:wordWrap w:val="0"/>
              <w:spacing w:line="480" w:lineRule="atLeast"/>
              <w:jc w:val="center"/>
              <w:rPr>
                <w:rFonts w:hint="eastAsia" w:ascii="宋体" w:hAnsi="宋体" w:cs="宋体"/>
                <w:color w:val="auto"/>
                <w:sz w:val="24"/>
              </w:rPr>
            </w:pPr>
            <w:r>
              <w:rPr>
                <w:rFonts w:hint="eastAsia" w:ascii="宋体" w:hAnsi="宋体" w:cs="宋体"/>
                <w:color w:val="auto"/>
                <w:kern w:val="0"/>
                <w:sz w:val="24"/>
                <w:lang w:bidi="ar"/>
              </w:rPr>
              <w:t>1</w:t>
            </w:r>
          </w:p>
        </w:tc>
        <w:tc>
          <w:tcPr>
            <w:tcW w:w="56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A0E34D3">
            <w:pPr>
              <w:rPr>
                <w:rFonts w:hint="eastAsia" w:ascii="宋体" w:hAnsi="宋体" w:cs="宋体"/>
                <w:color w:val="auto"/>
                <w:sz w:val="24"/>
              </w:rPr>
            </w:pPr>
            <w:r>
              <w:rPr>
                <w:rFonts w:hint="eastAsia" w:ascii="宋体" w:hAnsi="宋体" w:cs="宋体"/>
                <w:color w:val="auto"/>
                <w:sz w:val="24"/>
              </w:rPr>
              <w:t>★</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704C019">
            <w:pPr>
              <w:widowControl/>
              <w:wordWrap w:val="0"/>
              <w:spacing w:line="480" w:lineRule="atLeast"/>
              <w:jc w:val="left"/>
              <w:rPr>
                <w:rFonts w:hint="eastAsia" w:ascii="宋体" w:hAnsi="宋体" w:cs="宋体"/>
                <w:color w:val="auto"/>
                <w:sz w:val="24"/>
              </w:rPr>
            </w:pPr>
            <w:r>
              <w:rPr>
                <w:rFonts w:hint="eastAsia" w:ascii="宋体" w:hAnsi="宋体" w:cs="宋体"/>
                <w:color w:val="auto"/>
                <w:kern w:val="0"/>
                <w:sz w:val="24"/>
                <w:lang w:bidi="ar"/>
              </w:rPr>
              <w:t>交货地点</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9D34355">
            <w:pPr>
              <w:widowControl/>
              <w:wordWrap w:val="0"/>
              <w:spacing w:line="480" w:lineRule="atLeast"/>
              <w:jc w:val="left"/>
              <w:rPr>
                <w:rFonts w:hint="eastAsia" w:ascii="宋体" w:hAnsi="宋体" w:cs="宋体"/>
                <w:color w:val="auto"/>
                <w:sz w:val="24"/>
              </w:rPr>
            </w:pPr>
            <w:r>
              <w:rPr>
                <w:rFonts w:hint="eastAsia" w:cs="宋体"/>
                <w:color w:val="auto"/>
                <w:sz w:val="24"/>
                <w:lang w:eastAsia="zh-CN"/>
              </w:rPr>
              <w:t>福安市公共交通有限公司</w:t>
            </w:r>
            <w:r>
              <w:rPr>
                <w:rFonts w:hint="eastAsia" w:ascii="宋体" w:hAnsi="宋体" w:cs="宋体"/>
                <w:color w:val="auto"/>
                <w:sz w:val="24"/>
              </w:rPr>
              <w:t>指定地点</w:t>
            </w:r>
          </w:p>
        </w:tc>
      </w:tr>
      <w:tr w14:paraId="23531A5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2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72A2799">
            <w:pPr>
              <w:widowControl/>
              <w:wordWrap w:val="0"/>
              <w:spacing w:line="480" w:lineRule="atLeast"/>
              <w:jc w:val="center"/>
              <w:rPr>
                <w:rFonts w:hint="eastAsia" w:ascii="宋体" w:hAnsi="宋体" w:cs="宋体"/>
                <w:color w:val="auto"/>
                <w:sz w:val="24"/>
              </w:rPr>
            </w:pPr>
            <w:r>
              <w:rPr>
                <w:rFonts w:hint="eastAsia" w:ascii="宋体" w:hAnsi="宋体" w:cs="宋体"/>
                <w:color w:val="auto"/>
                <w:kern w:val="0"/>
                <w:sz w:val="24"/>
                <w:lang w:bidi="ar"/>
              </w:rPr>
              <w:t>2</w:t>
            </w:r>
          </w:p>
        </w:tc>
        <w:tc>
          <w:tcPr>
            <w:tcW w:w="56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08396F6">
            <w:pPr>
              <w:rPr>
                <w:rFonts w:hint="eastAsia" w:ascii="宋体" w:hAnsi="宋体" w:cs="宋体"/>
                <w:color w:val="auto"/>
                <w:sz w:val="24"/>
              </w:rPr>
            </w:pPr>
            <w:r>
              <w:rPr>
                <w:rFonts w:hint="eastAsia" w:ascii="宋体" w:hAnsi="宋体" w:cs="宋体"/>
                <w:color w:val="auto"/>
                <w:sz w:val="24"/>
              </w:rPr>
              <w:t>★</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DB59EBC">
            <w:pPr>
              <w:widowControl/>
              <w:wordWrap w:val="0"/>
              <w:spacing w:line="480" w:lineRule="atLeast"/>
              <w:jc w:val="left"/>
              <w:rPr>
                <w:rFonts w:hint="eastAsia" w:ascii="宋体" w:hAnsi="宋体" w:cs="宋体"/>
                <w:color w:val="auto"/>
                <w:sz w:val="24"/>
              </w:rPr>
            </w:pPr>
            <w:r>
              <w:rPr>
                <w:rFonts w:hint="eastAsia" w:ascii="宋体" w:hAnsi="宋体" w:cs="宋体"/>
                <w:color w:val="auto"/>
                <w:kern w:val="0"/>
                <w:sz w:val="24"/>
                <w:lang w:bidi="ar"/>
              </w:rPr>
              <w:t>交货时间</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12949AD">
            <w:pPr>
              <w:widowControl/>
              <w:wordWrap w:val="0"/>
              <w:spacing w:line="480" w:lineRule="atLeast"/>
              <w:jc w:val="left"/>
              <w:rPr>
                <w:rFonts w:hint="eastAsia" w:ascii="宋体" w:hAnsi="宋体" w:cs="宋体"/>
                <w:color w:val="auto"/>
                <w:sz w:val="24"/>
              </w:rPr>
            </w:pPr>
            <w:r>
              <w:rPr>
                <w:rFonts w:hint="eastAsia" w:ascii="宋体" w:hAnsi="宋体" w:cs="宋体"/>
                <w:color w:val="auto"/>
                <w:sz w:val="24"/>
              </w:rPr>
              <w:t>合同签订后45天内交货</w:t>
            </w:r>
          </w:p>
        </w:tc>
      </w:tr>
      <w:tr w14:paraId="691BDB4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2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18FE2A8">
            <w:pPr>
              <w:widowControl/>
              <w:wordWrap w:val="0"/>
              <w:spacing w:line="480" w:lineRule="atLeast"/>
              <w:jc w:val="center"/>
              <w:rPr>
                <w:rFonts w:hint="eastAsia" w:ascii="宋体" w:hAnsi="宋体" w:cs="宋体"/>
                <w:color w:val="auto"/>
                <w:sz w:val="24"/>
              </w:rPr>
            </w:pPr>
            <w:r>
              <w:rPr>
                <w:rFonts w:hint="eastAsia" w:ascii="宋体" w:hAnsi="宋体" w:cs="宋体"/>
                <w:color w:val="auto"/>
                <w:kern w:val="0"/>
                <w:sz w:val="24"/>
                <w:lang w:bidi="ar"/>
              </w:rPr>
              <w:t>3</w:t>
            </w:r>
          </w:p>
        </w:tc>
        <w:tc>
          <w:tcPr>
            <w:tcW w:w="56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528BE7F">
            <w:pPr>
              <w:rPr>
                <w:rFonts w:hint="eastAsia" w:ascii="宋体" w:hAnsi="宋体" w:cs="宋体"/>
                <w:color w:val="auto"/>
                <w:sz w:val="24"/>
              </w:rPr>
            </w:pPr>
            <w:r>
              <w:rPr>
                <w:rFonts w:hint="eastAsia" w:ascii="宋体" w:hAnsi="宋体" w:cs="宋体"/>
                <w:color w:val="auto"/>
                <w:sz w:val="24"/>
              </w:rPr>
              <w:t>★</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5B41F16">
            <w:pPr>
              <w:widowControl/>
              <w:wordWrap w:val="0"/>
              <w:spacing w:line="480" w:lineRule="atLeast"/>
              <w:jc w:val="left"/>
              <w:rPr>
                <w:rFonts w:hint="eastAsia" w:ascii="宋体" w:hAnsi="宋体" w:cs="宋体"/>
                <w:color w:val="auto"/>
                <w:sz w:val="24"/>
              </w:rPr>
            </w:pPr>
            <w:r>
              <w:rPr>
                <w:rFonts w:hint="eastAsia" w:ascii="宋体" w:hAnsi="宋体" w:cs="宋体"/>
                <w:color w:val="auto"/>
                <w:kern w:val="0"/>
                <w:sz w:val="24"/>
                <w:lang w:bidi="ar"/>
              </w:rPr>
              <w:t>是否邀请投标人验收</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5F25C4E">
            <w:pPr>
              <w:widowControl/>
              <w:wordWrap w:val="0"/>
              <w:spacing w:line="480" w:lineRule="atLeast"/>
              <w:jc w:val="left"/>
              <w:rPr>
                <w:rFonts w:hint="eastAsia" w:ascii="宋体" w:hAnsi="宋体" w:cs="宋体"/>
                <w:color w:val="auto"/>
                <w:sz w:val="24"/>
              </w:rPr>
            </w:pPr>
            <w:r>
              <w:rPr>
                <w:rFonts w:hint="eastAsia" w:ascii="宋体" w:hAnsi="宋体" w:cs="宋体"/>
                <w:color w:val="auto"/>
                <w:kern w:val="0"/>
                <w:sz w:val="24"/>
                <w:lang w:bidi="ar"/>
              </w:rPr>
              <w:t>不邀请投标人验收</w:t>
            </w:r>
          </w:p>
        </w:tc>
      </w:tr>
      <w:tr w14:paraId="7C1FD96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30"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C62679B">
            <w:pPr>
              <w:widowControl/>
              <w:wordWrap w:val="0"/>
              <w:spacing w:line="480" w:lineRule="atLeast"/>
              <w:jc w:val="center"/>
              <w:rPr>
                <w:rFonts w:hint="eastAsia" w:ascii="宋体" w:hAnsi="宋体" w:cs="宋体"/>
                <w:color w:val="auto"/>
                <w:sz w:val="24"/>
              </w:rPr>
            </w:pPr>
            <w:r>
              <w:rPr>
                <w:rFonts w:hint="eastAsia" w:ascii="宋体" w:hAnsi="宋体" w:cs="宋体"/>
                <w:color w:val="auto"/>
                <w:kern w:val="0"/>
                <w:sz w:val="24"/>
                <w:lang w:bidi="ar"/>
              </w:rPr>
              <w:t>4</w:t>
            </w:r>
          </w:p>
        </w:tc>
        <w:tc>
          <w:tcPr>
            <w:tcW w:w="56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755052A">
            <w:pPr>
              <w:rPr>
                <w:rFonts w:hint="eastAsia" w:ascii="宋体" w:hAnsi="宋体" w:cs="宋体"/>
                <w:color w:val="auto"/>
                <w:sz w:val="24"/>
              </w:rPr>
            </w:pPr>
            <w:r>
              <w:rPr>
                <w:rFonts w:hint="eastAsia" w:ascii="宋体" w:hAnsi="宋体" w:cs="宋体"/>
                <w:color w:val="auto"/>
                <w:sz w:val="24"/>
              </w:rPr>
              <w:t>★</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18370A2">
            <w:pPr>
              <w:widowControl/>
              <w:wordWrap w:val="0"/>
              <w:spacing w:line="480" w:lineRule="atLeast"/>
              <w:jc w:val="left"/>
              <w:rPr>
                <w:rFonts w:hint="eastAsia" w:ascii="宋体" w:hAnsi="宋体" w:cs="宋体"/>
                <w:color w:val="auto"/>
                <w:sz w:val="24"/>
              </w:rPr>
            </w:pPr>
            <w:r>
              <w:rPr>
                <w:rFonts w:hint="eastAsia" w:ascii="宋体" w:hAnsi="宋体" w:cs="宋体"/>
                <w:color w:val="auto"/>
                <w:kern w:val="0"/>
                <w:sz w:val="24"/>
                <w:lang w:bidi="ar"/>
              </w:rPr>
              <w:t>合同支付方式</w:t>
            </w:r>
          </w:p>
        </w:tc>
        <w:tc>
          <w:tcPr>
            <w:tcW w:w="0" w:type="auto"/>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F220A4E">
            <w:pPr>
              <w:pStyle w:val="14"/>
              <w:widowControl/>
              <w:wordWrap w:val="0"/>
              <w:spacing w:before="0" w:beforeAutospacing="0" w:after="0" w:afterAutospacing="0" w:line="480" w:lineRule="atLeast"/>
              <w:rPr>
                <w:rFonts w:hint="eastAsia" w:ascii="宋体" w:hAnsi="宋体" w:cs="宋体"/>
                <w:color w:val="auto"/>
              </w:rPr>
            </w:pPr>
            <w:r>
              <w:rPr>
                <w:rFonts w:hint="eastAsia" w:ascii="宋体" w:hAnsi="宋体" w:cs="宋体"/>
                <w:color w:val="auto"/>
              </w:rPr>
              <w:t>合同签订后10个工作日内支付合同金额的</w:t>
            </w:r>
            <w:r>
              <w:rPr>
                <w:rFonts w:hint="eastAsia" w:cs="宋体"/>
                <w:color w:val="auto"/>
                <w:lang w:val="en-US" w:eastAsia="zh-CN"/>
              </w:rPr>
              <w:t>30</w:t>
            </w:r>
            <w:r>
              <w:rPr>
                <w:rFonts w:hint="eastAsia" w:ascii="宋体" w:hAnsi="宋体" w:cs="宋体"/>
                <w:color w:val="auto"/>
              </w:rPr>
              <w:t>%；货物全部到货</w:t>
            </w:r>
            <w:r>
              <w:rPr>
                <w:rFonts w:hint="eastAsia" w:cs="宋体"/>
                <w:color w:val="auto"/>
                <w:lang w:val="en-US" w:eastAsia="zh-CN"/>
              </w:rPr>
              <w:t>完成车辆上牌（乙方配合甲方上牌）</w:t>
            </w:r>
            <w:r>
              <w:rPr>
                <w:rFonts w:hint="eastAsia" w:ascii="宋体" w:hAnsi="宋体" w:cs="宋体"/>
                <w:color w:val="auto"/>
              </w:rPr>
              <w:t>且验收合格后10个工作日内支付剩余</w:t>
            </w:r>
            <w:r>
              <w:rPr>
                <w:rFonts w:hint="eastAsia" w:cs="宋体"/>
                <w:color w:val="auto"/>
                <w:lang w:val="en-US" w:eastAsia="zh-CN"/>
              </w:rPr>
              <w:t>70</w:t>
            </w:r>
            <w:r>
              <w:rPr>
                <w:rFonts w:hint="eastAsia" w:ascii="宋体" w:hAnsi="宋体" w:cs="宋体"/>
                <w:color w:val="auto"/>
              </w:rPr>
              <w:t>%的合同款。</w:t>
            </w:r>
          </w:p>
        </w:tc>
      </w:tr>
      <w:tr w14:paraId="689932C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30"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0D30BBC">
            <w:pPr>
              <w:widowControl/>
              <w:wordWrap w:val="0"/>
              <w:spacing w:line="480" w:lineRule="atLeast"/>
              <w:jc w:val="center"/>
              <w:rPr>
                <w:rFonts w:hint="eastAsia" w:ascii="宋体" w:hAnsi="宋体" w:eastAsia="宋体" w:cs="宋体"/>
                <w:color w:val="auto"/>
                <w:kern w:val="0"/>
                <w:sz w:val="24"/>
                <w:lang w:val="en-US" w:eastAsia="zh-CN" w:bidi="ar"/>
              </w:rPr>
            </w:pPr>
            <w:r>
              <w:rPr>
                <w:rFonts w:hint="eastAsia" w:cs="宋体"/>
                <w:color w:val="auto"/>
                <w:kern w:val="0"/>
                <w:sz w:val="24"/>
                <w:lang w:val="en-US" w:eastAsia="zh-CN" w:bidi="ar"/>
              </w:rPr>
              <w:t>5</w:t>
            </w:r>
          </w:p>
        </w:tc>
        <w:tc>
          <w:tcPr>
            <w:tcW w:w="1122"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top"/>
          </w:tcPr>
          <w:p w14:paraId="40114F80">
            <w:pPr>
              <w:pStyle w:val="25"/>
              <w:spacing w:before="81" w:line="364" w:lineRule="auto"/>
              <w:ind w:left="107" w:leftChars="0" w:right="95" w:rightChars="0"/>
              <w:rPr>
                <w:rFonts w:hint="eastAsia" w:ascii="宋体" w:hAnsi="宋体" w:cs="宋体"/>
                <w:color w:val="auto"/>
                <w:sz w:val="24"/>
              </w:rPr>
            </w:pPr>
            <w:r>
              <w:rPr>
                <w:rFonts w:hint="eastAsia" w:asciiTheme="minorEastAsia" w:hAnsiTheme="minorEastAsia" w:eastAsiaTheme="minorEastAsia" w:cstheme="minorEastAsia"/>
                <w:color w:val="auto"/>
                <w:sz w:val="24"/>
              </w:rPr>
              <w:t>★</w:t>
            </w:r>
          </w:p>
        </w:tc>
        <w:tc>
          <w:tcPr>
            <w:tcW w:w="1482"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top"/>
          </w:tcPr>
          <w:p w14:paraId="63ED869F">
            <w:pPr>
              <w:pStyle w:val="25"/>
              <w:spacing w:before="81" w:line="364" w:lineRule="auto"/>
              <w:ind w:left="107" w:leftChars="0" w:right="95" w:rightChars="0"/>
              <w:rPr>
                <w:rFonts w:hint="eastAsia" w:ascii="宋体" w:hAnsi="宋体" w:cs="宋体"/>
                <w:color w:val="auto"/>
                <w:kern w:val="0"/>
                <w:sz w:val="24"/>
                <w:lang w:bidi="ar"/>
              </w:rPr>
            </w:pPr>
            <w:r>
              <w:rPr>
                <w:rFonts w:hint="eastAsia" w:asciiTheme="minorEastAsia" w:hAnsiTheme="minorEastAsia" w:eastAsiaTheme="minorEastAsia" w:cstheme="minorEastAsia"/>
                <w:color w:val="auto"/>
                <w:sz w:val="24"/>
              </w:rPr>
              <w:t>履约保证金</w:t>
            </w:r>
          </w:p>
        </w:tc>
        <w:tc>
          <w:tcPr>
            <w:tcW w:w="6425" w:type="dxa"/>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top"/>
          </w:tcPr>
          <w:p w14:paraId="01DB8F20">
            <w:pPr>
              <w:pStyle w:val="25"/>
              <w:spacing w:before="81" w:line="364" w:lineRule="auto"/>
              <w:ind w:right="95" w:rightChars="0"/>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缴纳, 本采购包履约保证金为合同金额的10%；</w:t>
            </w:r>
          </w:p>
          <w:p w14:paraId="18857A10">
            <w:pPr>
              <w:pStyle w:val="25"/>
              <w:spacing w:before="81" w:line="364" w:lineRule="auto"/>
              <w:ind w:right="95" w:rightChars="0"/>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说明：中标人须在合同签订后7个工作日内向采购人缴纳合同金额的10%作为履约保证金；履约保证金以非现金形式（包括转账、支票、汇票、本票或者金融机构、担保机构出具的保函等）向采购人提交履约保证金。</w:t>
            </w:r>
          </w:p>
          <w:p w14:paraId="1405B4AD">
            <w:pPr>
              <w:pStyle w:val="25"/>
              <w:spacing w:before="81" w:line="364" w:lineRule="auto"/>
              <w:ind w:right="95" w:rightChars="0"/>
              <w:rPr>
                <w:rFonts w:hint="eastAsia" w:ascii="宋体" w:hAnsi="宋体" w:cs="宋体"/>
                <w:color w:val="auto"/>
              </w:rPr>
            </w:pPr>
            <w:r>
              <w:rPr>
                <w:rFonts w:hint="eastAsia" w:ascii="宋体" w:hAnsi="宋体" w:cs="宋体"/>
                <w:color w:val="auto"/>
                <w:sz w:val="24"/>
                <w:szCs w:val="24"/>
                <w:lang w:val="en-US" w:eastAsia="zh-CN"/>
              </w:rPr>
              <w:t>履约保证金退还：于车辆验收合格后15个工作日内且无违约情况下无息退还。</w:t>
            </w:r>
          </w:p>
        </w:tc>
      </w:tr>
    </w:tbl>
    <w:p w14:paraId="262D4300">
      <w:pPr>
        <w:pStyle w:val="26"/>
        <w:spacing w:after="150" w:line="360" w:lineRule="auto"/>
        <w:ind w:right="-36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6、售后要求</w:t>
      </w:r>
    </w:p>
    <w:p w14:paraId="553B7C66">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6.1 要求</w:t>
      </w:r>
    </w:p>
    <w:p w14:paraId="7BF4352A">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（1）中标人应协助买方办理车辆保险、购置税、上牌等手续，期间所发生的费用由买方承担。</w:t>
      </w:r>
    </w:p>
    <w:p w14:paraId="622492BE">
      <w:pPr>
        <w:pStyle w:val="6"/>
        <w:spacing w:line="360" w:lineRule="auto"/>
        <w:ind w:firstLine="240" w:firstLineChars="100"/>
        <w:rPr>
          <w:rFonts w:ascii="宋体" w:hAnsi="宋体"/>
          <w:color w:val="auto"/>
        </w:rPr>
      </w:pPr>
      <w:r>
        <w:rPr>
          <w:rFonts w:ascii="宋体" w:hAnsi="宋体"/>
          <w:color w:val="auto"/>
        </w:rPr>
        <w:t>（</w:t>
      </w:r>
      <w:r>
        <w:rPr>
          <w:rFonts w:hint="eastAsia" w:ascii="宋体" w:hAnsi="宋体"/>
          <w:color w:val="auto"/>
        </w:rPr>
        <w:t>2</w:t>
      </w:r>
      <w:r>
        <w:rPr>
          <w:rFonts w:ascii="宋体" w:hAnsi="宋体"/>
          <w:color w:val="auto"/>
        </w:rPr>
        <w:t>）</w:t>
      </w:r>
      <w:r>
        <w:rPr>
          <w:rFonts w:hint="eastAsia" w:ascii="宋体" w:hAnsi="宋体"/>
          <w:color w:val="auto"/>
        </w:rPr>
        <w:t>中标</w:t>
      </w:r>
      <w:r>
        <w:rPr>
          <w:rFonts w:ascii="宋体" w:hAnsi="宋体"/>
          <w:color w:val="auto"/>
        </w:rPr>
        <w:t>人提供发动机及车架号码各拓印1份，附报牌用照片1张。</w:t>
      </w:r>
    </w:p>
    <w:p w14:paraId="3E4337E2">
      <w:pPr>
        <w:pStyle w:val="6"/>
        <w:spacing w:line="360" w:lineRule="auto"/>
        <w:ind w:firstLine="240" w:firstLineChars="100"/>
        <w:rPr>
          <w:rFonts w:ascii="宋体" w:hAnsi="宋体"/>
          <w:color w:val="auto"/>
        </w:rPr>
      </w:pPr>
      <w:r>
        <w:rPr>
          <w:rFonts w:ascii="宋体" w:hAnsi="宋体"/>
          <w:color w:val="auto"/>
        </w:rPr>
        <w:t>（</w:t>
      </w:r>
      <w:r>
        <w:rPr>
          <w:rFonts w:hint="eastAsia" w:ascii="宋体" w:hAnsi="宋体"/>
          <w:color w:val="auto"/>
        </w:rPr>
        <w:t>3</w:t>
      </w:r>
      <w:r>
        <w:rPr>
          <w:rFonts w:ascii="宋体" w:hAnsi="宋体"/>
          <w:color w:val="auto"/>
        </w:rPr>
        <w:t>）</w:t>
      </w:r>
      <w:r>
        <w:rPr>
          <w:rFonts w:hint="eastAsia" w:ascii="宋体" w:hAnsi="宋体"/>
          <w:color w:val="auto"/>
        </w:rPr>
        <w:t>中标</w:t>
      </w:r>
      <w:r>
        <w:rPr>
          <w:rFonts w:ascii="宋体" w:hAnsi="宋体"/>
          <w:color w:val="auto"/>
        </w:rPr>
        <w:t>人提供车身结构图。</w:t>
      </w:r>
    </w:p>
    <w:p w14:paraId="251BFD30">
      <w:pPr>
        <w:pStyle w:val="6"/>
        <w:spacing w:line="360" w:lineRule="auto"/>
        <w:ind w:firstLine="240" w:firstLineChars="100"/>
        <w:rPr>
          <w:rFonts w:ascii="宋体" w:hAnsi="宋体"/>
          <w:color w:val="auto"/>
        </w:rPr>
      </w:pPr>
      <w:r>
        <w:rPr>
          <w:rFonts w:ascii="宋体" w:hAnsi="宋体"/>
          <w:color w:val="auto"/>
        </w:rPr>
        <w:t>（</w:t>
      </w:r>
      <w:r>
        <w:rPr>
          <w:rFonts w:hint="eastAsia" w:ascii="宋体" w:hAnsi="宋体"/>
          <w:color w:val="auto"/>
        </w:rPr>
        <w:t>4</w:t>
      </w:r>
      <w:r>
        <w:rPr>
          <w:rFonts w:ascii="宋体" w:hAnsi="宋体"/>
          <w:color w:val="auto"/>
        </w:rPr>
        <w:t>）</w:t>
      </w:r>
      <w:r>
        <w:rPr>
          <w:rFonts w:hint="eastAsia" w:ascii="宋体" w:hAnsi="宋体"/>
          <w:color w:val="auto"/>
        </w:rPr>
        <w:t>中标</w:t>
      </w:r>
      <w:r>
        <w:rPr>
          <w:rFonts w:ascii="宋体" w:hAnsi="宋体"/>
          <w:color w:val="auto"/>
        </w:rPr>
        <w:t>人应及时向采购人提供车辆及服务，并承诺与采购人进行积极主动的合作，</w:t>
      </w:r>
      <w:r>
        <w:rPr>
          <w:rFonts w:hint="eastAsia" w:ascii="宋体" w:hAnsi="宋体"/>
          <w:color w:val="auto"/>
        </w:rPr>
        <w:t>中标</w:t>
      </w:r>
      <w:r>
        <w:rPr>
          <w:rFonts w:ascii="宋体" w:hAnsi="宋体"/>
          <w:color w:val="auto"/>
        </w:rPr>
        <w:t>人必须服从采购人的统一协调，在车辆供货、技术支持、运行维护等方面相互配合</w:t>
      </w:r>
      <w:r>
        <w:rPr>
          <w:rFonts w:hint="eastAsia" w:ascii="宋体" w:hAnsi="宋体"/>
          <w:color w:val="auto"/>
        </w:rPr>
        <w:t>。</w:t>
      </w:r>
    </w:p>
    <w:p w14:paraId="7C7B6BBB">
      <w:pPr>
        <w:pStyle w:val="6"/>
        <w:spacing w:line="360" w:lineRule="auto"/>
        <w:ind w:firstLine="240" w:firstLineChars="100"/>
        <w:rPr>
          <w:rFonts w:ascii="宋体" w:hAnsi="宋体"/>
          <w:color w:val="auto"/>
        </w:rPr>
      </w:pPr>
      <w:r>
        <w:rPr>
          <w:rFonts w:ascii="宋体" w:hAnsi="宋体"/>
          <w:color w:val="auto"/>
        </w:rPr>
        <w:t>（</w:t>
      </w:r>
      <w:r>
        <w:rPr>
          <w:rFonts w:hint="eastAsia" w:ascii="宋体" w:hAnsi="宋体"/>
          <w:color w:val="auto"/>
        </w:rPr>
        <w:t>5</w:t>
      </w:r>
      <w:r>
        <w:rPr>
          <w:rFonts w:ascii="宋体" w:hAnsi="宋体"/>
          <w:color w:val="auto"/>
        </w:rPr>
        <w:t>）</w:t>
      </w:r>
      <w:r>
        <w:rPr>
          <w:rFonts w:hint="eastAsia" w:ascii="宋体" w:hAnsi="宋体"/>
          <w:color w:val="auto"/>
        </w:rPr>
        <w:t>中标</w:t>
      </w:r>
      <w:r>
        <w:rPr>
          <w:rFonts w:ascii="宋体" w:hAnsi="宋体"/>
          <w:color w:val="auto"/>
        </w:rPr>
        <w:t>人负责本次招标内容的车辆运输、协助招标人交验货，同时</w:t>
      </w:r>
      <w:r>
        <w:rPr>
          <w:rFonts w:hint="eastAsia" w:ascii="宋体" w:hAnsi="宋体"/>
          <w:color w:val="auto"/>
        </w:rPr>
        <w:t>中标</w:t>
      </w:r>
      <w:r>
        <w:rPr>
          <w:rFonts w:ascii="宋体" w:hAnsi="宋体"/>
          <w:color w:val="auto"/>
        </w:rPr>
        <w:t>人提供的车辆承诺的全部售后服务条款(如质保期、现场维修等)，不得擅自缩小售后服务范围。</w:t>
      </w:r>
    </w:p>
    <w:p w14:paraId="31675E33">
      <w:pPr>
        <w:pStyle w:val="11"/>
        <w:spacing w:line="360" w:lineRule="auto"/>
        <w:ind w:firstLine="240" w:firstLineChars="100"/>
        <w:rPr>
          <w:rFonts w:asciiTheme="minorEastAsia" w:hAnsiTheme="minorEastAsia" w:eastAsiaTheme="minorEastAsia" w:cstheme="minorEastAsia"/>
          <w:color w:val="auto"/>
          <w:sz w:val="24"/>
          <w:szCs w:val="24"/>
          <w:shd w:val="clear" w:color="auto" w:fill="FFFFFF"/>
        </w:rPr>
      </w:pPr>
      <w:r>
        <w:rPr>
          <w:rFonts w:ascii="宋体" w:hAnsi="宋体"/>
          <w:color w:val="auto"/>
          <w:sz w:val="24"/>
        </w:rPr>
        <w:t>（</w:t>
      </w:r>
      <w:r>
        <w:rPr>
          <w:rFonts w:hint="eastAsia" w:ascii="宋体" w:hAnsi="宋体"/>
          <w:color w:val="auto"/>
          <w:sz w:val="24"/>
        </w:rPr>
        <w:t>6</w:t>
      </w:r>
      <w:r>
        <w:rPr>
          <w:rFonts w:ascii="宋体" w:hAnsi="宋体"/>
          <w:color w:val="auto"/>
          <w:sz w:val="24"/>
        </w:rPr>
        <w:t>）产品未经验收时，由</w:t>
      </w:r>
      <w:r>
        <w:rPr>
          <w:rFonts w:hint="eastAsia" w:ascii="宋体" w:hAnsi="宋体"/>
          <w:color w:val="auto"/>
          <w:sz w:val="24"/>
        </w:rPr>
        <w:t>中标</w:t>
      </w:r>
      <w:r>
        <w:rPr>
          <w:rFonts w:ascii="宋体" w:hAnsi="宋体"/>
          <w:color w:val="auto"/>
          <w:sz w:val="24"/>
        </w:rPr>
        <w:t>人负责保管至招标项目交货结束，其间发生的损坏、遗失由</w:t>
      </w:r>
      <w:r>
        <w:rPr>
          <w:rFonts w:hint="eastAsia" w:ascii="宋体" w:hAnsi="宋体"/>
          <w:color w:val="auto"/>
          <w:sz w:val="24"/>
        </w:rPr>
        <w:t>中标</w:t>
      </w:r>
      <w:r>
        <w:rPr>
          <w:rFonts w:ascii="宋体" w:hAnsi="宋体"/>
          <w:color w:val="auto"/>
          <w:sz w:val="24"/>
        </w:rPr>
        <w:t>人负责。</w:t>
      </w:r>
    </w:p>
    <w:p w14:paraId="5E1C349A">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6.2 维保服务</w:t>
      </w:r>
    </w:p>
    <w:p w14:paraId="0E1497BB">
      <w:pPr>
        <w:spacing w:line="360" w:lineRule="auto"/>
        <w:rPr>
          <w:rFonts w:hint="default" w:ascii="宋体" w:hAnsi="宋体" w:eastAsia="宋体" w:cs="宋体"/>
          <w:b/>
          <w:bCs/>
          <w:color w:val="auto"/>
          <w:sz w:val="24"/>
          <w:szCs w:val="24"/>
          <w:shd w:val="clear" w:color="auto" w:fill="FFFFFF"/>
          <w:lang w:val="en-US" w:eastAsia="zh-CN"/>
        </w:rPr>
      </w:pPr>
      <w:r>
        <w:rPr>
          <w:rFonts w:hint="eastAsia" w:ascii="宋体" w:hAnsi="宋体" w:eastAsia="宋体" w:cs="宋体"/>
          <w:b w:val="0"/>
          <w:bCs/>
          <w:color w:val="auto"/>
          <w:sz w:val="24"/>
          <w:lang w:eastAsia="zh-CN"/>
        </w:rPr>
        <w:t>★</w:t>
      </w:r>
      <w:r>
        <w:rPr>
          <w:rFonts w:hint="eastAsia" w:ascii="宋体" w:hAnsi="宋体" w:eastAsia="宋体" w:cs="宋体"/>
          <w:b/>
          <w:bCs/>
          <w:color w:val="auto"/>
          <w:sz w:val="24"/>
          <w:szCs w:val="24"/>
          <w:shd w:val="clear" w:color="auto" w:fill="FFFFFF"/>
        </w:rPr>
        <w:t>6.2.1</w:t>
      </w:r>
      <w:r>
        <w:rPr>
          <w:rFonts w:hint="eastAsia" w:ascii="宋体" w:hAnsi="宋体" w:eastAsia="宋体" w:cs="宋体"/>
          <w:b/>
          <w:bCs/>
          <w:color w:val="auto"/>
          <w:sz w:val="24"/>
          <w:szCs w:val="24"/>
          <w:shd w:val="clear" w:color="auto" w:fill="FFFFFF"/>
          <w:lang w:eastAsia="zh-CN"/>
        </w:rPr>
        <w:t>采购包</w:t>
      </w:r>
      <w:r>
        <w:rPr>
          <w:rFonts w:hint="eastAsia" w:ascii="宋体" w:hAnsi="宋体" w:eastAsia="宋体" w:cs="宋体"/>
          <w:b/>
          <w:bCs/>
          <w:color w:val="auto"/>
          <w:sz w:val="24"/>
          <w:szCs w:val="24"/>
          <w:shd w:val="clear" w:color="auto" w:fill="FFFFFF"/>
          <w:lang w:val="en-US" w:eastAsia="zh-CN"/>
        </w:rPr>
        <w:t>1和采购包2的</w:t>
      </w:r>
      <w:r>
        <w:rPr>
          <w:rFonts w:hint="eastAsia" w:ascii="宋体" w:hAnsi="宋体" w:eastAsia="宋体" w:cs="宋体"/>
          <w:b/>
          <w:bCs/>
          <w:color w:val="auto"/>
          <w:sz w:val="24"/>
        </w:rPr>
        <w:t>整车质保期为车辆登记之日起24个月或有更长的约定</w:t>
      </w:r>
      <w:r>
        <w:rPr>
          <w:rFonts w:hint="eastAsia" w:cs="宋体"/>
          <w:b/>
          <w:bCs/>
          <w:color w:val="auto"/>
          <w:sz w:val="24"/>
          <w:lang w:eastAsia="zh-CN"/>
        </w:rPr>
        <w:t>；</w:t>
      </w:r>
      <w:r>
        <w:rPr>
          <w:rFonts w:hint="eastAsia" w:cs="宋体"/>
          <w:b/>
          <w:bCs/>
          <w:color w:val="auto"/>
          <w:sz w:val="24"/>
          <w:lang w:val="en-US" w:eastAsia="zh-CN"/>
        </w:rPr>
        <w:t>其中</w:t>
      </w:r>
      <w:r>
        <w:rPr>
          <w:rFonts w:hint="eastAsia" w:ascii="宋体" w:hAnsi="宋体" w:eastAsia="宋体" w:cs="宋体"/>
          <w:b/>
          <w:bCs/>
          <w:color w:val="auto"/>
          <w:sz w:val="24"/>
          <w:szCs w:val="24"/>
          <w:shd w:val="clear" w:color="auto" w:fill="FFFFFF"/>
          <w:lang w:eastAsia="zh-CN"/>
        </w:rPr>
        <w:t>包</w:t>
      </w:r>
      <w:r>
        <w:rPr>
          <w:rFonts w:hint="eastAsia" w:ascii="宋体" w:hAnsi="宋体" w:eastAsia="宋体" w:cs="宋体"/>
          <w:b/>
          <w:bCs/>
          <w:color w:val="auto"/>
          <w:sz w:val="24"/>
          <w:szCs w:val="24"/>
          <w:shd w:val="clear" w:color="auto" w:fill="FFFFFF"/>
          <w:lang w:val="en-US" w:eastAsia="zh-CN"/>
        </w:rPr>
        <w:t>1：</w:t>
      </w:r>
      <w:r>
        <w:rPr>
          <w:rFonts w:hint="eastAsia" w:ascii="宋体" w:hAnsi="宋体" w:eastAsia="宋体" w:cs="宋体"/>
          <w:b/>
          <w:bCs/>
          <w:color w:val="auto"/>
          <w:sz w:val="24"/>
          <w:lang w:val="en-US" w:eastAsia="zh-CN"/>
        </w:rPr>
        <w:t>动力</w:t>
      </w:r>
      <w:r>
        <w:rPr>
          <w:rFonts w:hint="eastAsia" w:ascii="宋体" w:hAnsi="宋体" w:eastAsia="宋体" w:cs="宋体"/>
          <w:b/>
          <w:bCs/>
          <w:color w:val="auto"/>
          <w:sz w:val="24"/>
          <w:lang w:eastAsia="zh-CN"/>
        </w:rPr>
        <w:t>电池：质保</w:t>
      </w:r>
      <w:r>
        <w:rPr>
          <w:rFonts w:hint="eastAsia" w:ascii="宋体" w:hAnsi="宋体" w:eastAsia="宋体" w:cs="宋体"/>
          <w:b/>
          <w:bCs/>
          <w:color w:val="auto"/>
          <w:sz w:val="24"/>
          <w:lang w:val="en-US" w:eastAsia="zh-CN"/>
        </w:rPr>
        <w:t>10</w:t>
      </w:r>
      <w:r>
        <w:rPr>
          <w:rFonts w:hint="eastAsia" w:ascii="宋体" w:hAnsi="宋体" w:eastAsia="宋体" w:cs="宋体"/>
          <w:b/>
          <w:bCs/>
          <w:color w:val="auto"/>
          <w:sz w:val="24"/>
          <w:lang w:eastAsia="zh-CN"/>
        </w:rPr>
        <w:t>年</w:t>
      </w:r>
      <w:r>
        <w:rPr>
          <w:rFonts w:hint="eastAsia" w:ascii="宋体" w:hAnsi="宋体" w:eastAsia="宋体" w:cs="宋体"/>
          <w:b/>
          <w:bCs/>
          <w:color w:val="auto"/>
          <w:sz w:val="24"/>
          <w:lang w:val="en-US" w:eastAsia="zh-CN"/>
        </w:rPr>
        <w:t>或80万公里</w:t>
      </w:r>
      <w:r>
        <w:rPr>
          <w:rFonts w:hint="eastAsia" w:ascii="宋体" w:hAnsi="宋体" w:eastAsia="宋体" w:cs="宋体"/>
          <w:b/>
          <w:bCs/>
          <w:color w:val="auto"/>
          <w:sz w:val="24"/>
          <w:lang w:eastAsia="zh-CN"/>
        </w:rPr>
        <w:t>，</w:t>
      </w:r>
      <w:r>
        <w:rPr>
          <w:rFonts w:hint="eastAsia" w:ascii="宋体" w:hAnsi="宋体" w:eastAsia="宋体" w:cs="宋体"/>
          <w:b/>
          <w:bCs/>
          <w:color w:val="auto"/>
          <w:sz w:val="24"/>
          <w:lang w:val="en-US" w:eastAsia="zh-CN"/>
        </w:rPr>
        <w:t>质保期内</w:t>
      </w:r>
      <w:r>
        <w:rPr>
          <w:rFonts w:hint="eastAsia" w:ascii="宋体" w:hAnsi="宋体" w:eastAsia="宋体" w:cs="宋体"/>
          <w:b/>
          <w:bCs/>
          <w:color w:val="auto"/>
          <w:sz w:val="24"/>
          <w:lang w:eastAsia="zh-CN"/>
        </w:rPr>
        <w:t>电池若衰减大于30%，车厂必须免费更换同品牌电池</w:t>
      </w:r>
      <w:r>
        <w:rPr>
          <w:rFonts w:hint="eastAsia" w:cs="宋体"/>
          <w:b/>
          <w:bCs/>
          <w:color w:val="auto"/>
          <w:sz w:val="24"/>
          <w:lang w:eastAsia="zh-CN"/>
        </w:rPr>
        <w:t>，</w:t>
      </w:r>
      <w:r>
        <w:rPr>
          <w:rFonts w:hint="eastAsia" w:ascii="宋体" w:hAnsi="宋体" w:eastAsia="宋体" w:cs="宋体"/>
          <w:b/>
          <w:bCs/>
          <w:color w:val="auto"/>
          <w:sz w:val="24"/>
          <w:lang w:val="en-US" w:eastAsia="zh-CN"/>
        </w:rPr>
        <w:t>电</w:t>
      </w:r>
      <w:r>
        <w:rPr>
          <w:rFonts w:hint="eastAsia" w:ascii="宋体" w:hAnsi="宋体" w:eastAsia="宋体" w:cs="宋体"/>
          <w:b/>
          <w:bCs/>
          <w:color w:val="auto"/>
          <w:sz w:val="24"/>
          <w:lang w:eastAsia="zh-CN"/>
        </w:rPr>
        <w:t>控系统</w:t>
      </w:r>
      <w:r>
        <w:rPr>
          <w:rFonts w:hint="eastAsia" w:cs="宋体"/>
          <w:b/>
          <w:bCs/>
          <w:color w:val="auto"/>
          <w:sz w:val="24"/>
          <w:lang w:eastAsia="zh-CN"/>
        </w:rPr>
        <w:t>、</w:t>
      </w:r>
      <w:r>
        <w:rPr>
          <w:rFonts w:hint="eastAsia" w:ascii="宋体" w:hAnsi="宋体" w:eastAsia="宋体" w:cs="宋体"/>
          <w:b/>
          <w:bCs/>
          <w:color w:val="auto"/>
          <w:sz w:val="24"/>
          <w:lang w:eastAsia="zh-CN"/>
        </w:rPr>
        <w:t>电机</w:t>
      </w:r>
      <w:r>
        <w:rPr>
          <w:rFonts w:hint="eastAsia" w:cs="宋体"/>
          <w:b/>
          <w:bCs/>
          <w:color w:val="auto"/>
          <w:sz w:val="24"/>
          <w:lang w:eastAsia="zh-CN"/>
        </w:rPr>
        <w:t>、</w:t>
      </w:r>
      <w:r>
        <w:rPr>
          <w:rFonts w:hint="eastAsia" w:ascii="宋体" w:hAnsi="宋体" w:eastAsia="宋体" w:cs="宋体"/>
          <w:b/>
          <w:bCs/>
          <w:color w:val="auto"/>
          <w:sz w:val="24"/>
          <w:lang w:eastAsia="zh-CN"/>
        </w:rPr>
        <w:t>转向机</w:t>
      </w:r>
      <w:r>
        <w:rPr>
          <w:rFonts w:hint="eastAsia" w:cs="宋体"/>
          <w:b/>
          <w:bCs/>
          <w:color w:val="auto"/>
          <w:sz w:val="24"/>
          <w:lang w:eastAsia="zh-CN"/>
        </w:rPr>
        <w:t>、</w:t>
      </w:r>
      <w:r>
        <w:rPr>
          <w:rFonts w:hint="eastAsia" w:ascii="宋体" w:hAnsi="宋体" w:eastAsia="宋体" w:cs="宋体"/>
          <w:b/>
          <w:bCs/>
          <w:color w:val="auto"/>
          <w:sz w:val="24"/>
          <w:lang w:val="en-US" w:eastAsia="zh-CN"/>
        </w:rPr>
        <w:t>轴荷</w:t>
      </w:r>
      <w:r>
        <w:rPr>
          <w:rFonts w:hint="eastAsia" w:cs="宋体"/>
          <w:b/>
          <w:bCs/>
          <w:color w:val="auto"/>
          <w:sz w:val="24"/>
          <w:lang w:val="en-US" w:eastAsia="zh-CN"/>
        </w:rPr>
        <w:t>、</w:t>
      </w:r>
      <w:r>
        <w:rPr>
          <w:rFonts w:hint="eastAsia" w:ascii="宋体" w:hAnsi="宋体" w:eastAsia="宋体" w:cs="宋体"/>
          <w:b/>
          <w:bCs/>
          <w:color w:val="auto"/>
          <w:sz w:val="24"/>
          <w:lang w:eastAsia="zh-CN"/>
        </w:rPr>
        <w:t>空压机</w:t>
      </w:r>
      <w:r>
        <w:rPr>
          <w:rFonts w:hint="eastAsia" w:cs="宋体"/>
          <w:b/>
          <w:bCs/>
          <w:color w:val="auto"/>
          <w:sz w:val="24"/>
          <w:lang w:eastAsia="zh-CN"/>
        </w:rPr>
        <w:t>、</w:t>
      </w:r>
      <w:r>
        <w:rPr>
          <w:rFonts w:hint="eastAsia" w:ascii="宋体" w:hAnsi="宋体" w:eastAsia="宋体" w:cs="宋体"/>
          <w:b/>
          <w:bCs/>
          <w:color w:val="auto"/>
          <w:sz w:val="24"/>
          <w:lang w:val="en-US" w:eastAsia="zh-CN"/>
        </w:rPr>
        <w:t>集中润滑系统</w:t>
      </w:r>
      <w:r>
        <w:rPr>
          <w:rFonts w:hint="eastAsia" w:cs="宋体"/>
          <w:b/>
          <w:bCs/>
          <w:color w:val="auto"/>
          <w:sz w:val="24"/>
          <w:lang w:val="en-US" w:eastAsia="zh-CN"/>
        </w:rPr>
        <w:t>、</w:t>
      </w:r>
      <w:r>
        <w:rPr>
          <w:rFonts w:hint="eastAsia" w:ascii="宋体" w:hAnsi="宋体" w:eastAsia="宋体" w:cs="宋体"/>
          <w:b/>
          <w:bCs/>
          <w:color w:val="auto"/>
          <w:sz w:val="24"/>
          <w:lang w:eastAsia="zh-CN"/>
        </w:rPr>
        <w:t>地板、</w:t>
      </w:r>
      <w:r>
        <w:rPr>
          <w:rFonts w:hint="eastAsia" w:cs="宋体"/>
          <w:b/>
          <w:bCs/>
          <w:color w:val="auto"/>
          <w:sz w:val="24"/>
          <w:szCs w:val="24"/>
          <w:lang w:val="en-US" w:eastAsia="zh-CN"/>
        </w:rPr>
        <w:t>石英砂</w:t>
      </w:r>
      <w:r>
        <w:rPr>
          <w:rFonts w:hint="eastAsia" w:ascii="宋体" w:hAnsi="宋体" w:eastAsia="宋体" w:cs="宋体"/>
          <w:b/>
          <w:bCs/>
          <w:color w:val="auto"/>
          <w:sz w:val="24"/>
          <w:lang w:eastAsia="zh-CN"/>
        </w:rPr>
        <w:t>地板革</w:t>
      </w:r>
      <w:r>
        <w:rPr>
          <w:rFonts w:hint="eastAsia" w:ascii="宋体" w:hAnsi="宋体" w:eastAsia="宋体" w:cs="宋体"/>
          <w:b/>
          <w:bCs/>
          <w:color w:val="auto"/>
          <w:sz w:val="24"/>
          <w:lang w:val="en-US" w:eastAsia="zh-CN"/>
        </w:rPr>
        <w:t>的质</w:t>
      </w:r>
      <w:r>
        <w:rPr>
          <w:rFonts w:hint="eastAsia" w:cs="宋体"/>
          <w:b/>
          <w:bCs/>
          <w:color w:val="auto"/>
          <w:sz w:val="24"/>
          <w:lang w:val="en-US" w:eastAsia="zh-CN"/>
        </w:rPr>
        <w:t>保期为8年，空调为5年；</w:t>
      </w:r>
      <w:r>
        <w:rPr>
          <w:rFonts w:hint="eastAsia" w:ascii="宋体" w:hAnsi="宋体" w:eastAsia="宋体" w:cs="宋体"/>
          <w:b/>
          <w:bCs/>
          <w:color w:val="auto"/>
          <w:sz w:val="24"/>
          <w:szCs w:val="24"/>
          <w:shd w:val="clear" w:color="auto" w:fill="FFFFFF"/>
          <w:lang w:eastAsia="zh-CN"/>
        </w:rPr>
        <w:t>包</w:t>
      </w:r>
      <w:r>
        <w:rPr>
          <w:rFonts w:hint="eastAsia" w:cs="宋体"/>
          <w:b/>
          <w:bCs/>
          <w:color w:val="auto"/>
          <w:sz w:val="24"/>
          <w:szCs w:val="24"/>
          <w:shd w:val="clear" w:color="auto" w:fill="FFFFFF"/>
          <w:lang w:val="en-US" w:eastAsia="zh-CN"/>
        </w:rPr>
        <w:t>2</w:t>
      </w:r>
      <w:r>
        <w:rPr>
          <w:rFonts w:hint="eastAsia" w:ascii="宋体" w:hAnsi="宋体" w:eastAsia="宋体" w:cs="宋体"/>
          <w:b/>
          <w:bCs/>
          <w:color w:val="auto"/>
          <w:sz w:val="24"/>
          <w:szCs w:val="24"/>
          <w:shd w:val="clear" w:color="auto" w:fill="FFFFFF"/>
          <w:lang w:val="en-US" w:eastAsia="zh-CN"/>
        </w:rPr>
        <w:t>：</w:t>
      </w:r>
      <w:r>
        <w:rPr>
          <w:rFonts w:hint="eastAsia" w:ascii="宋体" w:hAnsi="宋体" w:eastAsia="宋体" w:cs="宋体"/>
          <w:b/>
          <w:bCs/>
          <w:color w:val="auto"/>
          <w:sz w:val="24"/>
          <w:szCs w:val="24"/>
        </w:rPr>
        <w:t>电池质保10年</w:t>
      </w:r>
      <w:r>
        <w:rPr>
          <w:rFonts w:hint="eastAsia" w:cs="宋体"/>
          <w:b/>
          <w:bCs/>
          <w:color w:val="auto"/>
          <w:sz w:val="24"/>
          <w:szCs w:val="24"/>
          <w:lang w:val="en-US" w:eastAsia="zh-CN"/>
        </w:rPr>
        <w:t>或80万公里，</w:t>
      </w:r>
      <w:r>
        <w:rPr>
          <w:rFonts w:hint="eastAsia" w:ascii="宋体" w:hAnsi="宋体" w:eastAsia="宋体" w:cs="宋体"/>
          <w:b/>
          <w:bCs/>
          <w:color w:val="auto"/>
          <w:sz w:val="24"/>
          <w:szCs w:val="24"/>
        </w:rPr>
        <w:t>电机、电控</w:t>
      </w:r>
      <w:r>
        <w:rPr>
          <w:rFonts w:hint="eastAsia" w:cs="宋体"/>
          <w:b/>
          <w:bCs/>
          <w:color w:val="auto"/>
          <w:sz w:val="24"/>
          <w:szCs w:val="24"/>
          <w:lang w:eastAsia="zh-CN"/>
        </w:rPr>
        <w:t>、</w:t>
      </w:r>
      <w:r>
        <w:rPr>
          <w:rFonts w:hint="eastAsia" w:ascii="宋体" w:hAnsi="宋体" w:eastAsia="宋体" w:cs="宋体"/>
          <w:b/>
          <w:bCs/>
          <w:color w:val="auto"/>
          <w:sz w:val="24"/>
          <w:szCs w:val="24"/>
        </w:rPr>
        <w:t>前后桥</w:t>
      </w:r>
      <w:r>
        <w:rPr>
          <w:rFonts w:hint="eastAsia" w:cs="宋体"/>
          <w:b/>
          <w:bCs/>
          <w:color w:val="auto"/>
          <w:sz w:val="24"/>
          <w:szCs w:val="24"/>
          <w:lang w:eastAsia="zh-CN"/>
        </w:rPr>
        <w:t>、</w:t>
      </w:r>
      <w:r>
        <w:rPr>
          <w:rFonts w:hint="eastAsia" w:ascii="宋体" w:hAnsi="宋体" w:eastAsia="宋体" w:cs="宋体"/>
          <w:b/>
          <w:bCs/>
          <w:color w:val="auto"/>
          <w:sz w:val="24"/>
          <w:szCs w:val="24"/>
        </w:rPr>
        <w:t>转向器</w:t>
      </w:r>
      <w:r>
        <w:rPr>
          <w:rFonts w:hint="eastAsia" w:cs="宋体"/>
          <w:b/>
          <w:bCs/>
          <w:color w:val="auto"/>
          <w:sz w:val="24"/>
          <w:szCs w:val="24"/>
          <w:lang w:eastAsia="zh-CN"/>
        </w:rPr>
        <w:t>、</w:t>
      </w:r>
      <w:r>
        <w:rPr>
          <w:rFonts w:hint="eastAsia" w:ascii="宋体" w:hAnsi="宋体" w:eastAsia="宋体" w:cs="宋体"/>
          <w:b/>
          <w:bCs/>
          <w:color w:val="auto"/>
          <w:sz w:val="24"/>
          <w:szCs w:val="24"/>
        </w:rPr>
        <w:t>打气泵</w:t>
      </w:r>
      <w:r>
        <w:rPr>
          <w:rFonts w:hint="eastAsia" w:cs="宋体"/>
          <w:b/>
          <w:bCs/>
          <w:color w:val="auto"/>
          <w:sz w:val="24"/>
          <w:szCs w:val="24"/>
          <w:lang w:eastAsia="zh-CN"/>
        </w:rPr>
        <w:t>、</w:t>
      </w:r>
      <w:r>
        <w:rPr>
          <w:rFonts w:hint="eastAsia" w:cs="宋体"/>
          <w:b/>
          <w:bCs/>
          <w:color w:val="auto"/>
          <w:sz w:val="24"/>
          <w:szCs w:val="24"/>
          <w:lang w:val="en-US" w:eastAsia="zh-CN"/>
        </w:rPr>
        <w:t>集中润滑系统、石英砂地板革的</w:t>
      </w:r>
      <w:r>
        <w:rPr>
          <w:rFonts w:hint="eastAsia" w:cs="宋体"/>
          <w:b/>
          <w:bCs/>
          <w:color w:val="auto"/>
          <w:sz w:val="24"/>
          <w:lang w:val="en-US" w:eastAsia="zh-CN"/>
        </w:rPr>
        <w:t>质保期为8年，空调为5年。招标文件未约定的按国家标准执行。</w:t>
      </w:r>
    </w:p>
    <w:p w14:paraId="1DF0275D">
      <w:pPr>
        <w:pStyle w:val="26"/>
        <w:spacing w:after="150" w:line="360" w:lineRule="auto"/>
        <w:ind w:right="-36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6.2.2质保期内如设备发生故障, 经过鉴定，属于厂家产品质量问题的，中标人须免费更换部件，该部件必须是原厂的产品；质保期内中标人在接到买方故障通知后应在3小时内作出响应；</w:t>
      </w:r>
    </w:p>
    <w:p w14:paraId="1EEA54BE">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6.2.3在保修期结束前1个月，要对车辆进行一次全面的检查；</w:t>
      </w:r>
    </w:p>
    <w:p w14:paraId="0B63D239">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6.2.4中标方在质保期过后，仍应负责对货物提供维修服务，更换配件时享受中标方最新的优惠政策；</w:t>
      </w:r>
    </w:p>
    <w:p w14:paraId="1B706CD0">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 xml:space="preserve">6.2.5投标人视自身能力在投标文件中提供更优、更合理的维修服务承诺。      </w:t>
      </w:r>
    </w:p>
    <w:p w14:paraId="71E2F689">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6.3 验收标准</w:t>
      </w:r>
    </w:p>
    <w:p w14:paraId="2B6E75F8">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 xml:space="preserve"> 按厂家产品验收标准及招标文件第</w:t>
      </w:r>
      <w:r>
        <w:rPr>
          <w:rFonts w:hint="eastAsia" w:asciiTheme="minorEastAsia" w:hAnsiTheme="minorEastAsia" w:cstheme="minorEastAsia"/>
          <w:color w:val="auto"/>
          <w:sz w:val="24"/>
          <w:szCs w:val="24"/>
          <w:shd w:val="clear" w:color="auto" w:fill="FFFFFF"/>
          <w:lang w:eastAsia="zh-CN"/>
        </w:rPr>
        <w:t>五</w:t>
      </w:r>
      <w:r>
        <w:rPr>
          <w:rFonts w:asciiTheme="minorEastAsia" w:hAnsiTheme="minorEastAsia" w:cstheme="minorEastAsia"/>
          <w:color w:val="auto"/>
          <w:sz w:val="24"/>
          <w:szCs w:val="24"/>
          <w:shd w:val="clear" w:color="auto" w:fill="FFFFFF"/>
        </w:rPr>
        <w:t>章“招标内容及要求”进行验收。产品质量达到设计要求，安装调试各项指标符合验收标准要求。</w:t>
      </w:r>
    </w:p>
    <w:p w14:paraId="20CC8636">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7、技术资料要求</w:t>
      </w:r>
    </w:p>
    <w:p w14:paraId="229C1F80">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中标人应向买方提供以下目录的原厂商资料一套，进口产品应配有中文资料一套，其费用包括在投标价格中：</w:t>
      </w:r>
    </w:p>
    <w:p w14:paraId="7F1BB749">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(1) 产品验收标准</w:t>
      </w:r>
    </w:p>
    <w:p w14:paraId="0709482C">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(2) 产品技术说明书</w:t>
      </w:r>
    </w:p>
    <w:p w14:paraId="60376BC9">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(3) 使用说明书</w:t>
      </w:r>
    </w:p>
    <w:p w14:paraId="3C6A8379">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(4) 零部件目录(若有)</w:t>
      </w:r>
    </w:p>
    <w:p w14:paraId="7C85DEA7">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(5) 备品备件、损件清单(若有)</w:t>
      </w:r>
    </w:p>
    <w:p w14:paraId="66F55F28">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(6) 安装、维修及操作手册(若有)</w:t>
      </w:r>
    </w:p>
    <w:p w14:paraId="1DB07479">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(7) 合同中要求的其它文件资料</w:t>
      </w:r>
    </w:p>
    <w:p w14:paraId="166E16EA">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8、特殊工具</w:t>
      </w:r>
    </w:p>
    <w:p w14:paraId="16EA283D">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中标人应向买方提供安装和维修所需的特殊专用工具及清单和中文说明书，其费用包括在报价内。</w:t>
      </w:r>
    </w:p>
    <w:p w14:paraId="71E1FB29">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9、随车配备</w:t>
      </w:r>
    </w:p>
    <w:p w14:paraId="07886029">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全套保养、维修工具。</w:t>
      </w:r>
    </w:p>
    <w:p w14:paraId="63242921">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10、专利权</w:t>
      </w:r>
    </w:p>
    <w:p w14:paraId="69A3D348">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中标人须保障买方在使用其货物或货物的任何一部分时，不受到第三方关于侵犯专利权、商标权或工业设计权的指控。任何第三方如果提出侵权指控，中标人须与第三方交涉并承担由此而引起的一切法律责任和费用。</w:t>
      </w:r>
    </w:p>
    <w:p w14:paraId="148D3A2A">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asciiTheme="minorEastAsia" w:hAnsiTheme="minorEastAsia" w:cstheme="minorEastAsia"/>
          <w:color w:val="auto"/>
          <w:sz w:val="24"/>
          <w:szCs w:val="24"/>
          <w:shd w:val="clear" w:color="auto" w:fill="FFFFFF"/>
        </w:rPr>
        <w:t>11、其它要求</w:t>
      </w:r>
    </w:p>
    <w:p w14:paraId="3A00989B">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hint="eastAsia" w:asciiTheme="minorEastAsia" w:hAnsiTheme="minorEastAsia" w:cstheme="minorEastAsia"/>
          <w:color w:val="auto"/>
          <w:sz w:val="24"/>
          <w:szCs w:val="24"/>
          <w:shd w:val="clear" w:color="auto" w:fill="FFFFFF"/>
          <w:lang w:val="en-US" w:eastAsia="zh-CN"/>
        </w:rPr>
        <w:t>11</w:t>
      </w:r>
      <w:r>
        <w:rPr>
          <w:rFonts w:asciiTheme="minorEastAsia" w:hAnsiTheme="minorEastAsia" w:cstheme="minorEastAsia"/>
          <w:color w:val="auto"/>
          <w:sz w:val="24"/>
          <w:szCs w:val="24"/>
          <w:shd w:val="clear" w:color="auto" w:fill="FFFFFF"/>
        </w:rPr>
        <w:t>.1、货物名称、主要技术参数、数量详见招标货物一览表，投标人可按招标货物一览表中的合同包进行报价。</w:t>
      </w:r>
    </w:p>
    <w:p w14:paraId="4D554B30">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hint="eastAsia" w:asciiTheme="minorEastAsia" w:hAnsiTheme="minorEastAsia" w:cstheme="minorEastAsia"/>
          <w:color w:val="auto"/>
          <w:sz w:val="24"/>
          <w:szCs w:val="24"/>
          <w:shd w:val="clear" w:color="auto" w:fill="FFFFFF"/>
          <w:lang w:val="en-US" w:eastAsia="zh-CN"/>
        </w:rPr>
        <w:t>11</w:t>
      </w:r>
      <w:r>
        <w:rPr>
          <w:rFonts w:asciiTheme="minorEastAsia" w:hAnsiTheme="minorEastAsia" w:cstheme="minorEastAsia"/>
          <w:color w:val="auto"/>
          <w:sz w:val="24"/>
          <w:szCs w:val="24"/>
          <w:shd w:val="clear" w:color="auto" w:fill="FFFFFF"/>
        </w:rPr>
        <w:t>.2、本次采购的车辆必须为新生产的车辆（设备）。投标人所提供的车辆（设备）配置标准不得低于上述技术规格和要求, 并在投标文件中详细说明所提供车辆（设备）的技术规格和参数。</w:t>
      </w:r>
    </w:p>
    <w:p w14:paraId="13B0B856">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hint="eastAsia" w:asciiTheme="minorEastAsia" w:hAnsiTheme="minorEastAsia" w:cstheme="minorEastAsia"/>
          <w:color w:val="auto"/>
          <w:sz w:val="24"/>
          <w:szCs w:val="24"/>
          <w:shd w:val="clear" w:color="auto" w:fill="FFFFFF"/>
          <w:lang w:val="en-US" w:eastAsia="zh-CN"/>
        </w:rPr>
        <w:t>11</w:t>
      </w:r>
      <w:r>
        <w:rPr>
          <w:rFonts w:asciiTheme="minorEastAsia" w:hAnsiTheme="minorEastAsia" w:cstheme="minorEastAsia"/>
          <w:color w:val="auto"/>
          <w:sz w:val="24"/>
          <w:szCs w:val="24"/>
          <w:shd w:val="clear" w:color="auto" w:fill="FFFFFF"/>
        </w:rPr>
        <w:t>.3、投标人应如实填写技术规格偏离表，若无详细技术规格偏离表则视为非应答性投标。若采购方掌握了确切事实说明某投标人没有如实填报技术规格偏离表或有弄虚作假行为，该投标文件将作为无效投标处理，并按相关规定进行处罚。</w:t>
      </w:r>
    </w:p>
    <w:p w14:paraId="5FB8360E">
      <w:pPr>
        <w:pStyle w:val="26"/>
        <w:spacing w:after="150" w:line="360" w:lineRule="auto"/>
        <w:ind w:left="-360" w:right="-360" w:firstLine="480"/>
        <w:rPr>
          <w:rFonts w:hint="default" w:asciiTheme="minorEastAsia" w:hAnsiTheme="minorEastAsia" w:cstheme="minorEastAsia"/>
          <w:color w:val="auto"/>
          <w:sz w:val="24"/>
          <w:szCs w:val="24"/>
          <w:shd w:val="clear" w:color="auto" w:fill="FFFFFF"/>
        </w:rPr>
      </w:pPr>
      <w:r>
        <w:rPr>
          <w:rFonts w:hint="eastAsia" w:asciiTheme="minorEastAsia" w:hAnsiTheme="minorEastAsia" w:cstheme="minorEastAsia"/>
          <w:color w:val="auto"/>
          <w:sz w:val="24"/>
          <w:szCs w:val="24"/>
          <w:shd w:val="clear" w:color="auto" w:fill="FFFFFF"/>
          <w:lang w:val="en-US" w:eastAsia="zh-CN"/>
        </w:rPr>
        <w:t>11</w:t>
      </w:r>
      <w:r>
        <w:rPr>
          <w:rFonts w:asciiTheme="minorEastAsia" w:hAnsiTheme="minorEastAsia" w:cstheme="minorEastAsia"/>
          <w:color w:val="auto"/>
          <w:sz w:val="24"/>
          <w:szCs w:val="24"/>
          <w:shd w:val="clear" w:color="auto" w:fill="FFFFFF"/>
        </w:rPr>
        <w:t>.4、车辆原则上要求车辆零公里销售；若投标人做不到，需解释并在合理的范围内自限定公里数。</w:t>
      </w:r>
    </w:p>
    <w:p w14:paraId="42488BB4">
      <w:pPr>
        <w:numPr>
          <w:ilvl w:val="0"/>
          <w:numId w:val="0"/>
        </w:numPr>
        <w:snapToGrid w:val="0"/>
        <w:spacing w:line="360" w:lineRule="auto"/>
        <w:ind w:leftChars="0"/>
        <w:rPr>
          <w:rFonts w:hint="eastAsia" w:asciiTheme="minorEastAsia" w:hAnsiTheme="minorEastAsia" w:eastAsiaTheme="minorEastAsia" w:cstheme="minorEastAsia"/>
          <w:b/>
          <w:bCs/>
          <w:color w:val="auto"/>
          <w:kern w:val="0"/>
          <w:sz w:val="24"/>
          <w:szCs w:val="22"/>
          <w:lang w:val="en-US" w:eastAsia="zh-CN" w:bidi="ar-SA"/>
        </w:rPr>
      </w:pPr>
      <w:r>
        <w:rPr>
          <w:rFonts w:hint="eastAsia" w:asciiTheme="minorEastAsia" w:hAnsiTheme="minorEastAsia" w:cstheme="minorEastAsia"/>
          <w:color w:val="auto"/>
          <w:sz w:val="24"/>
          <w:szCs w:val="24"/>
          <w:shd w:val="clear" w:color="auto" w:fill="FFFFFF"/>
          <w:lang w:val="en-US" w:eastAsia="zh-CN"/>
        </w:rPr>
        <w:t>11</w:t>
      </w:r>
      <w:r>
        <w:rPr>
          <w:rFonts w:asciiTheme="minorEastAsia" w:hAnsiTheme="minorEastAsia" w:cstheme="minorEastAsia"/>
          <w:color w:val="auto"/>
          <w:sz w:val="24"/>
          <w:szCs w:val="24"/>
          <w:shd w:val="clear" w:color="auto" w:fill="FFFFFF"/>
        </w:rPr>
        <w:t>.5、车辆未特别注明的，均默认为按照该型号车辆生产厂家原始出厂时的标准配置采购。</w:t>
      </w:r>
      <w:r>
        <w:rPr>
          <w:rFonts w:hint="eastAsia" w:asciiTheme="minorEastAsia" w:hAnsiTheme="minorEastAsia" w:eastAsiaTheme="minorEastAsia" w:cstheme="minorEastAsia"/>
          <w:b/>
          <w:bCs/>
          <w:color w:val="auto"/>
          <w:kern w:val="0"/>
          <w:sz w:val="24"/>
          <w:szCs w:val="22"/>
          <w:lang w:val="en-US" w:eastAsia="zh-CN" w:bidi="ar-SA"/>
        </w:rPr>
        <w:t>四、其它</w:t>
      </w:r>
    </w:p>
    <w:p w14:paraId="65884F99">
      <w:pPr>
        <w:adjustRightInd w:val="0"/>
        <w:snapToGrid w:val="0"/>
        <w:spacing w:line="360" w:lineRule="auto"/>
        <w:ind w:firstLine="480" w:firstLineChars="200"/>
        <w:jc w:val="left"/>
        <w:rPr>
          <w:rFonts w:hint="eastAsia" w:asciiTheme="minorEastAsia" w:hAnsiTheme="minorEastAsia" w:eastAsiaTheme="minorEastAsia" w:cstheme="minorEastAsia"/>
          <w:color w:val="auto"/>
          <w:kern w:val="0"/>
          <w:sz w:val="24"/>
          <w:szCs w:val="22"/>
          <w:lang w:val="en-US" w:eastAsia="zh-CN" w:bidi="ar-SA"/>
        </w:rPr>
      </w:pPr>
      <w:r>
        <w:rPr>
          <w:rFonts w:hint="eastAsia" w:asciiTheme="minorEastAsia" w:hAnsiTheme="minorEastAsia" w:eastAsiaTheme="minorEastAsia" w:cstheme="minorEastAsia"/>
          <w:color w:val="auto"/>
          <w:kern w:val="0"/>
          <w:sz w:val="24"/>
          <w:szCs w:val="22"/>
          <w:lang w:val="en-US" w:eastAsia="zh-CN" w:bidi="ar-SA"/>
        </w:rPr>
        <w:t>1、投标人承诺的交付时间、交付地点、合同付款方式必须完全满足招标文件要求，否则按无效投标处理。</w:t>
      </w:r>
    </w:p>
    <w:p w14:paraId="2B552793">
      <w:pPr>
        <w:spacing w:line="360" w:lineRule="auto"/>
        <w:ind w:firstLine="480" w:firstLineChars="200"/>
        <w:jc w:val="left"/>
        <w:rPr>
          <w:rFonts w:hint="eastAsia" w:asciiTheme="minorEastAsia" w:hAnsiTheme="minorEastAsia" w:eastAsiaTheme="minorEastAsia" w:cstheme="minorEastAsia"/>
          <w:color w:val="auto"/>
          <w:kern w:val="0"/>
          <w:sz w:val="24"/>
          <w:szCs w:val="22"/>
          <w:lang w:val="en-US" w:eastAsia="zh-CN" w:bidi="ar-SA"/>
        </w:rPr>
      </w:pPr>
      <w:r>
        <w:rPr>
          <w:rFonts w:hint="eastAsia" w:asciiTheme="minorEastAsia" w:hAnsiTheme="minorEastAsia" w:eastAsiaTheme="minorEastAsia" w:cstheme="minorEastAsia"/>
          <w:color w:val="auto"/>
          <w:kern w:val="0"/>
          <w:sz w:val="24"/>
          <w:szCs w:val="22"/>
          <w:lang w:val="en-US" w:eastAsia="zh-CN" w:bidi="ar-SA"/>
        </w:rPr>
        <w:t>2、</w:t>
      </w:r>
      <w:r>
        <w:rPr>
          <w:rFonts w:hint="eastAsia" w:asciiTheme="minorEastAsia" w:hAnsiTheme="minorEastAsia" w:eastAsiaTheme="minorEastAsia" w:cstheme="minorEastAsia"/>
          <w:color w:val="auto"/>
          <w:spacing w:val="0"/>
          <w:kern w:val="0"/>
          <w:sz w:val="24"/>
          <w:szCs w:val="22"/>
          <w:lang w:val="en-US" w:eastAsia="zh-CN" w:bidi="ar-SA"/>
        </w:rPr>
        <w:t>投标人应如实详细填写</w:t>
      </w:r>
      <w:r>
        <w:rPr>
          <w:rFonts w:hint="eastAsia" w:asciiTheme="minorEastAsia" w:hAnsiTheme="minorEastAsia" w:eastAsiaTheme="minorEastAsia" w:cstheme="minorEastAsia"/>
          <w:b w:val="0"/>
          <w:bCs/>
          <w:color w:val="auto"/>
          <w:spacing w:val="0"/>
          <w:sz w:val="24"/>
        </w:rPr>
        <w:t>技术和服务要求响应表</w:t>
      </w:r>
      <w:r>
        <w:rPr>
          <w:rFonts w:hint="eastAsia" w:asciiTheme="minorEastAsia" w:hAnsiTheme="minorEastAsia" w:eastAsiaTheme="minorEastAsia" w:cstheme="minorEastAsia"/>
          <w:b w:val="0"/>
          <w:bCs/>
          <w:color w:val="auto"/>
          <w:spacing w:val="0"/>
          <w:sz w:val="24"/>
          <w:lang w:eastAsia="zh-CN"/>
        </w:rPr>
        <w:t>及</w:t>
      </w:r>
      <w:r>
        <w:rPr>
          <w:rFonts w:hint="eastAsia" w:asciiTheme="minorEastAsia" w:hAnsiTheme="minorEastAsia" w:eastAsiaTheme="minorEastAsia" w:cstheme="minorEastAsia"/>
          <w:b w:val="0"/>
          <w:bCs/>
          <w:color w:val="auto"/>
          <w:spacing w:val="0"/>
          <w:sz w:val="24"/>
        </w:rPr>
        <w:t>商务条件响应表</w:t>
      </w:r>
      <w:r>
        <w:rPr>
          <w:rFonts w:hint="eastAsia" w:asciiTheme="minorEastAsia" w:hAnsiTheme="minorEastAsia" w:eastAsiaTheme="minorEastAsia" w:cstheme="minorEastAsia"/>
          <w:b w:val="0"/>
          <w:bCs/>
          <w:color w:val="auto"/>
          <w:spacing w:val="0"/>
          <w:kern w:val="0"/>
          <w:sz w:val="24"/>
          <w:szCs w:val="22"/>
          <w:lang w:val="en-US" w:eastAsia="zh-CN" w:bidi="ar-SA"/>
        </w:rPr>
        <w:t>，</w:t>
      </w:r>
      <w:r>
        <w:rPr>
          <w:rFonts w:hint="eastAsia" w:asciiTheme="minorEastAsia" w:hAnsiTheme="minorEastAsia" w:eastAsiaTheme="minorEastAsia" w:cstheme="minorEastAsia"/>
          <w:color w:val="auto"/>
          <w:spacing w:val="0"/>
          <w:kern w:val="0"/>
          <w:sz w:val="24"/>
          <w:szCs w:val="22"/>
          <w:lang w:val="en-US" w:eastAsia="zh-CN" w:bidi="ar-SA"/>
        </w:rPr>
        <w:t>应将技术参数逐条详细列在偏离表中，不得只简单列出规格型号，也不得在“</w:t>
      </w:r>
      <w:r>
        <w:rPr>
          <w:rFonts w:eastAsiaTheme="minorEastAsia"/>
          <w:color w:val="auto"/>
          <w:spacing w:val="0"/>
          <w:sz w:val="24"/>
        </w:rPr>
        <w:t>投标响应</w:t>
      </w:r>
      <w:r>
        <w:rPr>
          <w:rFonts w:hint="eastAsia" w:asciiTheme="minorEastAsia" w:hAnsiTheme="minorEastAsia" w:eastAsiaTheme="minorEastAsia" w:cstheme="minorEastAsia"/>
          <w:color w:val="auto"/>
          <w:spacing w:val="0"/>
          <w:kern w:val="0"/>
          <w:sz w:val="24"/>
          <w:szCs w:val="22"/>
          <w:lang w:val="en-US" w:eastAsia="zh-CN" w:bidi="ar-SA"/>
        </w:rPr>
        <w:t>”栏中仅出现“响应”字样，若无详细</w:t>
      </w:r>
      <w:r>
        <w:rPr>
          <w:rFonts w:hint="eastAsia" w:asciiTheme="minorEastAsia" w:hAnsiTheme="minorEastAsia" w:eastAsiaTheme="minorEastAsia" w:cstheme="minorEastAsia"/>
          <w:b w:val="0"/>
          <w:bCs/>
          <w:color w:val="auto"/>
          <w:spacing w:val="0"/>
          <w:sz w:val="24"/>
        </w:rPr>
        <w:t>技术和服务要求响应表</w:t>
      </w:r>
      <w:r>
        <w:rPr>
          <w:rFonts w:hint="eastAsia" w:asciiTheme="minorEastAsia" w:hAnsiTheme="minorEastAsia" w:eastAsiaTheme="minorEastAsia" w:cstheme="minorEastAsia"/>
          <w:b w:val="0"/>
          <w:bCs/>
          <w:color w:val="auto"/>
          <w:spacing w:val="0"/>
          <w:sz w:val="24"/>
          <w:lang w:eastAsia="zh-CN"/>
        </w:rPr>
        <w:t>及</w:t>
      </w:r>
      <w:r>
        <w:rPr>
          <w:rFonts w:hint="eastAsia" w:asciiTheme="minorEastAsia" w:hAnsiTheme="minorEastAsia" w:eastAsiaTheme="minorEastAsia" w:cstheme="minorEastAsia"/>
          <w:b w:val="0"/>
          <w:bCs/>
          <w:color w:val="auto"/>
          <w:spacing w:val="0"/>
          <w:sz w:val="24"/>
        </w:rPr>
        <w:t>商务条件响应表</w:t>
      </w:r>
      <w:r>
        <w:rPr>
          <w:rFonts w:hint="eastAsia" w:asciiTheme="minorEastAsia" w:hAnsiTheme="minorEastAsia" w:eastAsiaTheme="minorEastAsia" w:cstheme="minorEastAsia"/>
          <w:color w:val="auto"/>
          <w:spacing w:val="0"/>
          <w:kern w:val="0"/>
          <w:sz w:val="24"/>
          <w:szCs w:val="22"/>
          <w:lang w:val="en-US" w:eastAsia="zh-CN" w:bidi="ar-SA"/>
        </w:rPr>
        <w:t>或未按要求填写的，按无效投标处理</w:t>
      </w:r>
      <w:r>
        <w:rPr>
          <w:rFonts w:hint="eastAsia" w:asciiTheme="minorEastAsia" w:hAnsiTheme="minorEastAsia" w:eastAsiaTheme="minorEastAsia" w:cstheme="minorEastAsia"/>
          <w:color w:val="auto"/>
          <w:kern w:val="0"/>
          <w:sz w:val="24"/>
          <w:szCs w:val="22"/>
          <w:lang w:val="en-US" w:eastAsia="zh-CN" w:bidi="ar-SA"/>
        </w:rPr>
        <w:t>。</w:t>
      </w:r>
    </w:p>
    <w:p w14:paraId="7B64CCEA">
      <w:pPr>
        <w:spacing w:line="360" w:lineRule="auto"/>
        <w:ind w:firstLine="480" w:firstLineChars="200"/>
        <w:jc w:val="left"/>
        <w:rPr>
          <w:rFonts w:hint="eastAsia" w:asciiTheme="minorEastAsia" w:hAnsiTheme="minorEastAsia" w:eastAsiaTheme="minorEastAsia" w:cstheme="minorEastAsia"/>
          <w:color w:val="auto"/>
          <w:kern w:val="0"/>
          <w:sz w:val="24"/>
          <w:szCs w:val="22"/>
          <w:lang w:val="en-US" w:eastAsia="zh-CN" w:bidi="ar-SA"/>
        </w:rPr>
      </w:pPr>
      <w:r>
        <w:rPr>
          <w:rFonts w:hint="eastAsia" w:asciiTheme="minorEastAsia" w:hAnsiTheme="minorEastAsia" w:eastAsiaTheme="minorEastAsia" w:cstheme="minorEastAsia"/>
          <w:color w:val="auto"/>
          <w:kern w:val="0"/>
          <w:sz w:val="24"/>
          <w:szCs w:val="22"/>
          <w:lang w:val="en-US" w:eastAsia="zh-CN" w:bidi="ar-SA"/>
        </w:rPr>
        <w:t>3、除招标文件另有规定外，若出现有关法律、法规和规章有强制性规定但招标文件未列明的情形，则投标人应按照有关法律、法规和规章强制性规定执行。</w:t>
      </w:r>
    </w:p>
    <w:p w14:paraId="4951321B">
      <w:pPr>
        <w:spacing w:line="360" w:lineRule="auto"/>
        <w:ind w:firstLine="480" w:firstLineChars="200"/>
        <w:jc w:val="left"/>
        <w:rPr>
          <w:rFonts w:hint="eastAsia" w:asciiTheme="minorEastAsia" w:hAnsiTheme="minorEastAsia" w:eastAsiaTheme="minorEastAsia" w:cstheme="minorEastAsia"/>
          <w:color w:val="auto"/>
          <w:kern w:val="0"/>
          <w:sz w:val="24"/>
          <w:szCs w:val="22"/>
          <w:lang w:val="en-US" w:eastAsia="zh-CN" w:bidi="ar-SA"/>
        </w:rPr>
      </w:pPr>
      <w:r>
        <w:rPr>
          <w:rFonts w:hint="eastAsia" w:asciiTheme="minorEastAsia" w:hAnsiTheme="minorEastAsia" w:eastAsiaTheme="minorEastAsia" w:cstheme="minorEastAsia"/>
          <w:color w:val="auto"/>
          <w:kern w:val="0"/>
          <w:sz w:val="24"/>
          <w:szCs w:val="22"/>
          <w:lang w:val="en-US" w:eastAsia="zh-CN" w:bidi="ar-SA"/>
        </w:rPr>
        <w:t>4.报价要求</w:t>
      </w:r>
    </w:p>
    <w:p w14:paraId="5D92C9FC">
      <w:pPr>
        <w:spacing w:line="360" w:lineRule="auto"/>
        <w:ind w:firstLine="482" w:firstLineChars="200"/>
        <w:jc w:val="left"/>
        <w:rPr>
          <w:rFonts w:hint="eastAsia" w:asciiTheme="minorEastAsia" w:hAnsiTheme="minorEastAsia" w:eastAsiaTheme="minorEastAsia" w:cstheme="minorEastAsia"/>
          <w:b/>
          <w:bCs/>
          <w:color w:val="auto"/>
          <w:kern w:val="0"/>
          <w:sz w:val="24"/>
          <w:szCs w:val="22"/>
          <w:highlight w:val="none"/>
          <w:lang w:val="en-US" w:eastAsia="zh-CN" w:bidi="ar-SA"/>
        </w:rPr>
      </w:pPr>
      <w:r>
        <w:rPr>
          <w:rFonts w:hint="eastAsia" w:asciiTheme="minorEastAsia" w:hAnsiTheme="minorEastAsia" w:eastAsiaTheme="minorEastAsia" w:cstheme="minorEastAsia"/>
          <w:b/>
          <w:bCs/>
          <w:color w:val="auto"/>
          <w:kern w:val="0"/>
          <w:sz w:val="24"/>
          <w:szCs w:val="22"/>
          <w:highlight w:val="none"/>
          <w:lang w:val="en-US" w:eastAsia="zh-CN" w:bidi="ar-SA"/>
        </w:rPr>
        <w:t>4.1、采购包1投标人应以包括设备所涉及的有关项目的所有费用进行报价，包括：货物制造、</w:t>
      </w:r>
      <w:bookmarkStart w:id="38" w:name="OLE_LINK3"/>
      <w:r>
        <w:rPr>
          <w:rFonts w:hint="eastAsia" w:ascii="宋体" w:hAnsi="宋体" w:eastAsia="宋体" w:cs="宋体"/>
          <w:b/>
          <w:bCs w:val="0"/>
          <w:color w:val="auto"/>
          <w:sz w:val="24"/>
          <w:szCs w:val="24"/>
          <w:highlight w:val="none"/>
          <w:lang w:val="en-US" w:eastAsia="zh-CN"/>
        </w:rPr>
        <w:t>需负责采购单位原有</w:t>
      </w:r>
      <w:r>
        <w:rPr>
          <w:rFonts w:hint="eastAsia" w:cs="宋体"/>
          <w:b/>
          <w:bCs w:val="0"/>
          <w:color w:val="auto"/>
          <w:sz w:val="24"/>
          <w:szCs w:val="24"/>
          <w:highlight w:val="none"/>
          <w:lang w:val="en-US" w:eastAsia="zh-CN"/>
        </w:rPr>
        <w:t>12</w:t>
      </w:r>
      <w:r>
        <w:rPr>
          <w:rFonts w:hint="eastAsia" w:ascii="宋体" w:hAnsi="宋体" w:eastAsia="宋体" w:cs="宋体"/>
          <w:b/>
          <w:bCs w:val="0"/>
          <w:color w:val="auto"/>
          <w:sz w:val="24"/>
          <w:szCs w:val="24"/>
          <w:highlight w:val="none"/>
          <w:lang w:val="en-US" w:eastAsia="zh-CN"/>
        </w:rPr>
        <w:t>辆采购人指定的</w:t>
      </w:r>
      <w:r>
        <w:rPr>
          <w:rFonts w:hint="eastAsia" w:ascii="宋体" w:hAnsi="宋体" w:eastAsia="宋体" w:cs="宋体"/>
          <w:b/>
          <w:bCs w:val="0"/>
          <w:color w:val="auto"/>
          <w:sz w:val="24"/>
          <w:szCs w:val="24"/>
          <w:highlight w:val="none"/>
        </w:rPr>
        <w:t>纯电动公交车</w:t>
      </w:r>
      <w:r>
        <w:rPr>
          <w:rFonts w:hint="eastAsia" w:ascii="宋体" w:hAnsi="宋体" w:eastAsia="宋体" w:cs="宋体"/>
          <w:b/>
          <w:bCs w:val="0"/>
          <w:color w:val="auto"/>
          <w:sz w:val="24"/>
          <w:szCs w:val="24"/>
          <w:highlight w:val="none"/>
          <w:lang w:val="en-US" w:eastAsia="zh-CN"/>
        </w:rPr>
        <w:t>动力电池更换业务</w:t>
      </w:r>
      <w:r>
        <w:rPr>
          <w:rFonts w:hint="eastAsia" w:ascii="宋体" w:hAnsi="宋体" w:eastAsia="宋体" w:cs="宋体"/>
          <w:b/>
          <w:bCs w:val="0"/>
          <w:color w:val="auto"/>
          <w:kern w:val="2"/>
          <w:sz w:val="24"/>
          <w:szCs w:val="24"/>
          <w:highlight w:val="none"/>
          <w:lang w:val="en-US" w:eastAsia="zh-CN" w:bidi="ar-SA"/>
        </w:rPr>
        <w:t>所产生费用、</w:t>
      </w:r>
      <w:r>
        <w:rPr>
          <w:rFonts w:hint="eastAsia" w:asciiTheme="minorEastAsia" w:hAnsiTheme="minorEastAsia" w:eastAsiaTheme="minorEastAsia" w:cstheme="minorEastAsia"/>
          <w:b/>
          <w:bCs/>
          <w:color w:val="auto"/>
          <w:kern w:val="0"/>
          <w:sz w:val="24"/>
          <w:szCs w:val="22"/>
          <w:highlight w:val="none"/>
          <w:lang w:val="en-US" w:eastAsia="zh-CN" w:bidi="ar-SA"/>
        </w:rPr>
        <w:t>包装、运输、装卸、验收（配合验收）、人员培训（如需去厂家培训、考察、验收等异地费用不含在投标总价内，即不列入企业采购费用支出）、税金、安装、调试、保修等一切费用。</w:t>
      </w:r>
      <w:bookmarkEnd w:id="38"/>
    </w:p>
    <w:p w14:paraId="74DB101C">
      <w:pPr>
        <w:pStyle w:val="16"/>
        <w:spacing w:line="360" w:lineRule="auto"/>
        <w:ind w:left="0" w:leftChars="0" w:firstLine="482" w:firstLineChars="200"/>
        <w:rPr>
          <w:rFonts w:hint="eastAsia" w:ascii="宋体" w:hAnsi="宋体" w:eastAsia="宋体" w:cs="宋体"/>
          <w:b/>
          <w:bCs/>
          <w:i w:val="0"/>
          <w:iCs/>
          <w:color w:val="auto"/>
          <w:kern w:val="0"/>
          <w:sz w:val="24"/>
          <w:szCs w:val="22"/>
          <w:highlight w:val="none"/>
          <w:lang w:val="en-US" w:eastAsia="zh-CN" w:bidi="ar-SA"/>
        </w:rPr>
      </w:pPr>
      <w:r>
        <w:rPr>
          <w:rFonts w:hint="eastAsia" w:ascii="宋体" w:hAnsi="宋体" w:eastAsia="宋体" w:cs="宋体"/>
          <w:b/>
          <w:bCs/>
          <w:i w:val="0"/>
          <w:iCs/>
          <w:color w:val="auto"/>
          <w:kern w:val="0"/>
          <w:sz w:val="24"/>
          <w:szCs w:val="22"/>
          <w:highlight w:val="none"/>
          <w:lang w:val="en-US" w:eastAsia="zh-CN" w:bidi="ar-SA"/>
        </w:rPr>
        <w:t>采购包2投标人应以包括设备所涉及的有关项目的所有费用进行报价，包括：货物制造、</w:t>
      </w:r>
    </w:p>
    <w:p w14:paraId="76CA4B21">
      <w:pPr>
        <w:pStyle w:val="16"/>
        <w:spacing w:line="360" w:lineRule="auto"/>
        <w:ind w:left="0" w:leftChars="0" w:firstLine="0" w:firstLineChars="0"/>
        <w:rPr>
          <w:rFonts w:hint="eastAsia" w:ascii="宋体" w:hAnsi="宋体" w:eastAsia="宋体" w:cs="宋体"/>
          <w:i w:val="0"/>
          <w:iCs/>
          <w:color w:val="auto"/>
          <w:highlight w:val="none"/>
          <w:lang w:val="en-US" w:eastAsia="zh-CN"/>
        </w:rPr>
      </w:pPr>
      <w:r>
        <w:rPr>
          <w:rFonts w:hint="eastAsia" w:ascii="宋体" w:hAnsi="宋体" w:eastAsia="宋体" w:cs="宋体"/>
          <w:b/>
          <w:bCs/>
          <w:i w:val="0"/>
          <w:iCs/>
          <w:color w:val="auto"/>
          <w:kern w:val="0"/>
          <w:sz w:val="24"/>
          <w:szCs w:val="22"/>
          <w:highlight w:val="none"/>
          <w:lang w:val="en-US" w:eastAsia="zh-CN" w:bidi="ar-SA"/>
        </w:rPr>
        <w:t>包装、运输、装卸、验收（配合验收）、人员培训（如需去厂家培训、考察、验收等异地费用不含在投标总价内，即不列入</w:t>
      </w:r>
      <w:r>
        <w:rPr>
          <w:rFonts w:hint="eastAsia" w:cs="宋体"/>
          <w:b/>
          <w:bCs/>
          <w:i w:val="0"/>
          <w:iCs/>
          <w:color w:val="auto"/>
          <w:kern w:val="0"/>
          <w:sz w:val="24"/>
          <w:szCs w:val="22"/>
          <w:highlight w:val="none"/>
          <w:lang w:val="en-US" w:eastAsia="zh-CN" w:bidi="ar-SA"/>
        </w:rPr>
        <w:t>企业采购</w:t>
      </w:r>
      <w:r>
        <w:rPr>
          <w:rFonts w:hint="eastAsia" w:ascii="宋体" w:hAnsi="宋体" w:eastAsia="宋体" w:cs="宋体"/>
          <w:b/>
          <w:bCs/>
          <w:i w:val="0"/>
          <w:iCs/>
          <w:color w:val="auto"/>
          <w:kern w:val="0"/>
          <w:sz w:val="24"/>
          <w:szCs w:val="22"/>
          <w:highlight w:val="none"/>
          <w:lang w:val="en-US" w:eastAsia="zh-CN" w:bidi="ar-SA"/>
        </w:rPr>
        <w:t>费用支出）、税金、安装、调试、保修等一切费用。</w:t>
      </w:r>
    </w:p>
    <w:p w14:paraId="0BCD862E">
      <w:pPr>
        <w:spacing w:line="360" w:lineRule="auto"/>
        <w:ind w:firstLine="480" w:firstLineChars="200"/>
        <w:rPr>
          <w:rFonts w:hint="eastAsia" w:asciiTheme="minorEastAsia" w:hAnsiTheme="minorEastAsia" w:eastAsiaTheme="minorEastAsia" w:cstheme="minorEastAsia"/>
          <w:color w:val="auto"/>
          <w:lang w:val="en-US" w:eastAsia="zh-CN"/>
        </w:rPr>
        <w:sectPr>
          <w:footerReference r:id="rId9" w:type="default"/>
          <w:pgSz w:w="11910" w:h="16840"/>
          <w:pgMar w:top="1460" w:right="860" w:bottom="1160" w:left="1220" w:header="0" w:footer="970" w:gutter="0"/>
          <w:pgNumType w:fmt="decimal"/>
          <w:cols w:space="720" w:num="1"/>
        </w:sectPr>
      </w:pPr>
      <w:r>
        <w:rPr>
          <w:rFonts w:hint="eastAsia" w:ascii="宋体" w:hAnsi="宋体" w:cs="宋体"/>
          <w:color w:val="auto"/>
          <w:kern w:val="0"/>
          <w:sz w:val="24"/>
          <w:lang w:val="en-US" w:eastAsia="zh-CN"/>
        </w:rPr>
        <w:t>4.2</w:t>
      </w:r>
      <w:r>
        <w:rPr>
          <w:rFonts w:hint="eastAsia" w:ascii="宋体" w:hAnsi="宋体" w:cs="宋体"/>
          <w:color w:val="auto"/>
          <w:kern w:val="0"/>
          <w:sz w:val="24"/>
        </w:rPr>
        <w:t>、</w:t>
      </w:r>
      <w:r>
        <w:rPr>
          <w:rFonts w:hint="eastAsia" w:ascii="宋体" w:hAnsi="宋体" w:cs="宋体"/>
          <w:color w:val="auto"/>
          <w:sz w:val="24"/>
          <w:szCs w:val="24"/>
        </w:rPr>
        <w:t>报价中漏报、少报的费用，视为此项费用已包含在投标报价中，中标后不得再向采购人收取任何费用</w:t>
      </w:r>
      <w:r>
        <w:rPr>
          <w:rFonts w:hint="eastAsia" w:ascii="宋体" w:hAnsi="宋体" w:cs="宋体"/>
          <w:color w:val="auto"/>
          <w:kern w:val="0"/>
          <w:sz w:val="24"/>
        </w:rPr>
        <w:t>。</w:t>
      </w:r>
      <w:r>
        <w:rPr>
          <w:rFonts w:hint="eastAsia" w:asciiTheme="minorEastAsia" w:hAnsiTheme="minorEastAsia" w:eastAsiaTheme="minorEastAsia" w:cstheme="minorEastAsia"/>
          <w:color w:val="auto"/>
          <w:lang w:val="en-US" w:eastAsia="zh-CN"/>
        </w:rPr>
        <w:t xml:space="preserve">  </w:t>
      </w:r>
    </w:p>
    <w:p w14:paraId="04DFBA39">
      <w:pPr>
        <w:pStyle w:val="3"/>
        <w:ind w:left="0" w:leftChars="0" w:right="0" w:firstLine="0" w:firstLineChars="0"/>
        <w:jc w:val="cente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xml:space="preserve">第六章 </w:t>
      </w:r>
      <w:r>
        <w:rPr>
          <w:rFonts w:hint="eastAsia" w:asciiTheme="minorEastAsia" w:hAnsiTheme="minorEastAsia" w:eastAsiaTheme="minorEastAsia" w:cstheme="minorEastAsia"/>
          <w:color w:val="auto"/>
          <w:lang w:eastAsia="zh-CN"/>
        </w:rPr>
        <w:t>企业采购</w:t>
      </w:r>
      <w:r>
        <w:rPr>
          <w:rFonts w:hint="eastAsia" w:asciiTheme="minorEastAsia" w:hAnsiTheme="minorEastAsia" w:eastAsiaTheme="minorEastAsia" w:cstheme="minorEastAsia"/>
          <w:color w:val="auto"/>
        </w:rPr>
        <w:t>合同</w:t>
      </w:r>
    </w:p>
    <w:p w14:paraId="49C92861">
      <w:pPr>
        <w:pStyle w:val="6"/>
        <w:ind w:left="0" w:leftChars="0" w:firstLine="0" w:firstLineChars="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合同编号：</w:t>
      </w:r>
      <w:bookmarkStart w:id="39" w:name="参考文本"/>
      <w:bookmarkEnd w:id="39"/>
    </w:p>
    <w:p w14:paraId="603C0713">
      <w:pPr>
        <w:pStyle w:val="6"/>
        <w:ind w:left="0" w:leftChars="0" w:firstLine="0" w:firstLineChars="0"/>
        <w:jc w:val="center"/>
        <w:rPr>
          <w:rFonts w:hint="eastAsia" w:asciiTheme="minorEastAsia" w:hAnsiTheme="minorEastAsia" w:eastAsiaTheme="minorEastAsia" w:cstheme="minorEastAsia"/>
          <w:b/>
          <w:bCs/>
          <w:color w:val="auto"/>
        </w:rPr>
      </w:pPr>
      <w:r>
        <w:rPr>
          <w:rFonts w:hint="eastAsia" w:asciiTheme="minorEastAsia" w:hAnsiTheme="minorEastAsia" w:eastAsiaTheme="minorEastAsia" w:cstheme="minorEastAsia"/>
          <w:b/>
          <w:bCs/>
          <w:color w:val="auto"/>
        </w:rPr>
        <w:t>参考文本</w:t>
      </w:r>
      <w:bookmarkStart w:id="40" w:name="福建省政府采购合同（货物类）"/>
      <w:bookmarkEnd w:id="40"/>
    </w:p>
    <w:p w14:paraId="3445B592">
      <w:pPr>
        <w:pStyle w:val="6"/>
        <w:ind w:left="0" w:leftChars="0" w:firstLine="0" w:firstLineChars="0"/>
        <w:jc w:val="center"/>
        <w:rPr>
          <w:rFonts w:hint="eastAsia" w:asciiTheme="minorEastAsia" w:hAnsiTheme="minorEastAsia" w:eastAsiaTheme="minorEastAsia" w:cstheme="minorEastAsia"/>
          <w:b/>
          <w:bCs/>
          <w:color w:val="auto"/>
        </w:rPr>
      </w:pPr>
    </w:p>
    <w:p w14:paraId="0FACD01B">
      <w:pPr>
        <w:pStyle w:val="26"/>
        <w:jc w:val="center"/>
        <w:outlineLvl w:val="1"/>
        <w:rPr>
          <w:color w:val="auto"/>
        </w:rPr>
      </w:pPr>
      <w:r>
        <w:rPr>
          <w:rFonts w:hint="eastAsia"/>
          <w:b/>
          <w:color w:val="auto"/>
          <w:sz w:val="36"/>
          <w:lang w:eastAsia="zh-CN"/>
        </w:rPr>
        <w:t>企业采购</w:t>
      </w:r>
      <w:r>
        <w:rPr>
          <w:b/>
          <w:color w:val="auto"/>
          <w:sz w:val="36"/>
        </w:rPr>
        <w:t>合同</w:t>
      </w:r>
    </w:p>
    <w:p w14:paraId="53A136B2">
      <w:pPr>
        <w:pStyle w:val="26"/>
        <w:jc w:val="center"/>
        <w:outlineLvl w:val="2"/>
        <w:rPr>
          <w:color w:val="auto"/>
        </w:rPr>
      </w:pPr>
      <w:r>
        <w:rPr>
          <w:b/>
          <w:color w:val="auto"/>
          <w:sz w:val="28"/>
        </w:rPr>
        <w:t>参考文本</w:t>
      </w:r>
    </w:p>
    <w:p w14:paraId="3FB4F7A5">
      <w:pPr>
        <w:pStyle w:val="26"/>
        <w:jc w:val="left"/>
        <w:outlineLvl w:val="0"/>
        <w:rPr>
          <w:color w:val="auto"/>
        </w:rPr>
      </w:pPr>
      <w:r>
        <w:rPr>
          <w:b/>
          <w:color w:val="auto"/>
          <w:sz w:val="48"/>
        </w:rPr>
        <w:t xml:space="preserve"> </w:t>
      </w:r>
      <w:r>
        <w:rPr>
          <w:rFonts w:hint="eastAsia"/>
          <w:b/>
          <w:color w:val="auto"/>
          <w:sz w:val="48"/>
          <w:lang w:eastAsia="zh-CN"/>
        </w:rPr>
        <w:t>企业采购</w:t>
      </w:r>
      <w:r>
        <w:rPr>
          <w:b/>
          <w:color w:val="auto"/>
          <w:sz w:val="48"/>
        </w:rPr>
        <w:t>货物买卖合同</w:t>
      </w:r>
    </w:p>
    <w:p w14:paraId="50D2F31B">
      <w:pPr>
        <w:pStyle w:val="26"/>
        <w:jc w:val="center"/>
        <w:outlineLvl w:val="0"/>
        <w:rPr>
          <w:color w:val="auto"/>
        </w:rPr>
      </w:pPr>
      <w:r>
        <w:rPr>
          <w:b/>
          <w:color w:val="auto"/>
          <w:sz w:val="48"/>
        </w:rPr>
        <w:t>（试行）</w:t>
      </w:r>
    </w:p>
    <w:p w14:paraId="536B17C6">
      <w:pPr>
        <w:pStyle w:val="26"/>
        <w:jc w:val="left"/>
        <w:rPr>
          <w:color w:val="auto"/>
        </w:rPr>
      </w:pPr>
      <w:r>
        <w:rPr>
          <w:b/>
          <w:color w:val="auto"/>
          <w:sz w:val="31"/>
        </w:rPr>
        <w:t>项目名称： __________________________</w:t>
      </w:r>
    </w:p>
    <w:p w14:paraId="3D39A572">
      <w:pPr>
        <w:pStyle w:val="26"/>
        <w:jc w:val="left"/>
        <w:rPr>
          <w:color w:val="auto"/>
        </w:rPr>
      </w:pPr>
      <w:r>
        <w:rPr>
          <w:b/>
          <w:color w:val="auto"/>
          <w:sz w:val="31"/>
        </w:rPr>
        <w:t>合同编号： __________________________</w:t>
      </w:r>
    </w:p>
    <w:p w14:paraId="0D2DB997">
      <w:pPr>
        <w:pStyle w:val="26"/>
        <w:jc w:val="left"/>
        <w:rPr>
          <w:color w:val="auto"/>
        </w:rPr>
      </w:pPr>
      <w:r>
        <w:rPr>
          <w:b/>
          <w:color w:val="auto"/>
          <w:sz w:val="31"/>
        </w:rPr>
        <w:t>甲   方： __________________________</w:t>
      </w:r>
    </w:p>
    <w:p w14:paraId="57DAE6B0">
      <w:pPr>
        <w:pStyle w:val="26"/>
        <w:jc w:val="left"/>
        <w:rPr>
          <w:color w:val="auto"/>
        </w:rPr>
      </w:pPr>
      <w:r>
        <w:rPr>
          <w:b/>
          <w:color w:val="auto"/>
          <w:sz w:val="31"/>
        </w:rPr>
        <w:t>乙   方：__________________________</w:t>
      </w:r>
    </w:p>
    <w:p w14:paraId="4714E163">
      <w:pPr>
        <w:pStyle w:val="26"/>
        <w:jc w:val="left"/>
        <w:rPr>
          <w:color w:val="auto"/>
        </w:rPr>
      </w:pPr>
      <w:r>
        <w:rPr>
          <w:b/>
          <w:color w:val="auto"/>
          <w:sz w:val="31"/>
        </w:rPr>
        <w:t>签订时间： __________________________</w:t>
      </w:r>
    </w:p>
    <w:p w14:paraId="01935610">
      <w:pPr>
        <w:pStyle w:val="26"/>
        <w:jc w:val="left"/>
        <w:rPr>
          <w:color w:val="auto"/>
        </w:rPr>
      </w:pPr>
      <w:r>
        <w:rPr>
          <w:color w:val="auto"/>
        </w:rPr>
        <w:t xml:space="preserve"> </w:t>
      </w:r>
    </w:p>
    <w:p w14:paraId="29C3566D">
      <w:pPr>
        <w:pStyle w:val="26"/>
        <w:jc w:val="center"/>
        <w:outlineLvl w:val="1"/>
        <w:rPr>
          <w:color w:val="auto"/>
        </w:rPr>
      </w:pPr>
      <w:r>
        <w:rPr>
          <w:b/>
          <w:color w:val="auto"/>
          <w:sz w:val="36"/>
        </w:rPr>
        <w:t>使用说明</w:t>
      </w:r>
    </w:p>
    <w:p w14:paraId="300D2696">
      <w:pPr>
        <w:pStyle w:val="26"/>
        <w:jc w:val="left"/>
        <w:outlineLvl w:val="3"/>
        <w:rPr>
          <w:color w:val="auto"/>
        </w:rPr>
      </w:pPr>
      <w:r>
        <w:rPr>
          <w:b/>
          <w:color w:val="auto"/>
          <w:sz w:val="24"/>
        </w:rPr>
        <w:t>1.本合同标准文本适用于购买现成货物的采购项目，不包括需要供应商定制开发、创新研发的货物采购项目。</w:t>
      </w:r>
    </w:p>
    <w:p w14:paraId="116C4F73">
      <w:pPr>
        <w:pStyle w:val="26"/>
        <w:jc w:val="left"/>
        <w:outlineLvl w:val="3"/>
        <w:rPr>
          <w:color w:val="auto"/>
        </w:rPr>
      </w:pPr>
      <w:r>
        <w:rPr>
          <w:b/>
          <w:color w:val="auto"/>
          <w:sz w:val="24"/>
        </w:rPr>
        <w:t>2.本合同标准文本为</w:t>
      </w:r>
      <w:r>
        <w:rPr>
          <w:rFonts w:hint="eastAsia"/>
          <w:b/>
          <w:color w:val="auto"/>
          <w:sz w:val="24"/>
          <w:lang w:eastAsia="zh-CN"/>
        </w:rPr>
        <w:t>企业采购</w:t>
      </w:r>
      <w:r>
        <w:rPr>
          <w:b/>
          <w:color w:val="auto"/>
          <w:sz w:val="24"/>
        </w:rPr>
        <w:t>货物买卖合同编制提供参考，可以结合采购项目具体情况，对文本作必要的调整修订后使用。</w:t>
      </w:r>
    </w:p>
    <w:p w14:paraId="4745DCE6">
      <w:pPr>
        <w:pStyle w:val="26"/>
        <w:jc w:val="left"/>
        <w:outlineLvl w:val="3"/>
        <w:rPr>
          <w:color w:val="auto"/>
        </w:rPr>
      </w:pPr>
      <w:r>
        <w:rPr>
          <w:b/>
          <w:color w:val="auto"/>
          <w:sz w:val="24"/>
        </w:rPr>
        <w:t>3.本合同标准文本各条款中，如涉及填写多家供应商、制造商，多种采购标的、分包主要内容等信息的，可根据采购项目具体情况添加信息项。</w:t>
      </w:r>
    </w:p>
    <w:p w14:paraId="298BF7EE">
      <w:pPr>
        <w:pStyle w:val="26"/>
        <w:jc w:val="center"/>
        <w:outlineLvl w:val="1"/>
        <w:rPr>
          <w:color w:val="auto"/>
        </w:rPr>
      </w:pPr>
      <w:r>
        <w:rPr>
          <w:b/>
          <w:color w:val="auto"/>
          <w:sz w:val="36"/>
        </w:rPr>
        <w:t xml:space="preserve">第一节 </w:t>
      </w:r>
      <w:r>
        <w:rPr>
          <w:rFonts w:hint="eastAsia"/>
          <w:b/>
          <w:color w:val="auto"/>
          <w:sz w:val="36"/>
          <w:lang w:eastAsia="zh-CN"/>
        </w:rPr>
        <w:t>企业采购</w:t>
      </w:r>
      <w:r>
        <w:rPr>
          <w:b/>
          <w:color w:val="auto"/>
          <w:sz w:val="36"/>
        </w:rPr>
        <w:t>合同协议书</w:t>
      </w:r>
    </w:p>
    <w:p w14:paraId="3872E83F">
      <w:pPr>
        <w:pStyle w:val="26"/>
        <w:jc w:val="left"/>
        <w:rPr>
          <w:color w:val="auto"/>
        </w:rPr>
      </w:pPr>
      <w:r>
        <w:rPr>
          <w:color w:val="auto"/>
        </w:rPr>
        <w:t>甲方（全称）：___________________________（采购人、受采购人委托签订合同的单位或采购文件约定的合同甲方）</w:t>
      </w:r>
    </w:p>
    <w:p w14:paraId="43327262">
      <w:pPr>
        <w:pStyle w:val="26"/>
        <w:jc w:val="left"/>
        <w:rPr>
          <w:color w:val="auto"/>
        </w:rPr>
      </w:pPr>
      <w:r>
        <w:rPr>
          <w:color w:val="auto"/>
        </w:rPr>
        <w:t>乙方1（全称）：___________________________（供应商）</w:t>
      </w:r>
    </w:p>
    <w:p w14:paraId="4BC267A9">
      <w:pPr>
        <w:pStyle w:val="26"/>
        <w:jc w:val="left"/>
        <w:rPr>
          <w:color w:val="auto"/>
        </w:rPr>
      </w:pPr>
      <w:r>
        <w:rPr>
          <w:color w:val="auto"/>
        </w:rPr>
        <w:t>乙方2（全称）：___________________________（联合体成员供应商或其他合同主体）（如有）</w:t>
      </w:r>
    </w:p>
    <w:p w14:paraId="66B391F6">
      <w:pPr>
        <w:pStyle w:val="26"/>
        <w:jc w:val="left"/>
        <w:rPr>
          <w:color w:val="auto"/>
        </w:rPr>
      </w:pPr>
      <w:r>
        <w:rPr>
          <w:color w:val="auto"/>
        </w:rPr>
        <w:t>乙方3（全称）：___________________________（联合体成员供应商或其他合同主体）（如有）</w:t>
      </w:r>
    </w:p>
    <w:p w14:paraId="25E106DE">
      <w:pPr>
        <w:pStyle w:val="26"/>
        <w:jc w:val="left"/>
        <w:rPr>
          <w:color w:val="auto"/>
        </w:rPr>
      </w:pPr>
      <w:r>
        <w:rPr>
          <w:color w:val="auto"/>
        </w:rPr>
        <w:t>依据《中华人民共和国民法典》、《中华人民共和国政府采购法》等有关的法律法规，以及本采购项目的招标/谈判文件等采购文件、乙方的《投标（响应）文件》及《中标（成交）通知书》，甲乙双方同意签订本合同。具体情况及要求如下：</w:t>
      </w:r>
    </w:p>
    <w:p w14:paraId="3DC2C5D8">
      <w:pPr>
        <w:pStyle w:val="26"/>
        <w:jc w:val="left"/>
        <w:outlineLvl w:val="2"/>
        <w:rPr>
          <w:color w:val="auto"/>
        </w:rPr>
      </w:pPr>
      <w:r>
        <w:rPr>
          <w:b/>
          <w:color w:val="auto"/>
          <w:sz w:val="28"/>
        </w:rPr>
        <w:t>1.项目信息</w:t>
      </w:r>
    </w:p>
    <w:p w14:paraId="5E7ED7DB">
      <w:pPr>
        <w:pStyle w:val="26"/>
        <w:jc w:val="left"/>
        <w:rPr>
          <w:color w:val="auto"/>
        </w:rPr>
      </w:pPr>
      <w:r>
        <w:rPr>
          <w:color w:val="auto"/>
        </w:rPr>
        <w:t>(1)采购项目名称：___________________________</w:t>
      </w:r>
    </w:p>
    <w:p w14:paraId="22CC5C4F">
      <w:pPr>
        <w:pStyle w:val="26"/>
        <w:jc w:val="left"/>
        <w:rPr>
          <w:color w:val="auto"/>
        </w:rPr>
      </w:pPr>
      <w:r>
        <w:rPr>
          <w:color w:val="auto"/>
        </w:rPr>
        <w:t xml:space="preserve"> 采购项目编号：____________________________</w:t>
      </w:r>
    </w:p>
    <w:p w14:paraId="7CF177CD">
      <w:pPr>
        <w:pStyle w:val="26"/>
        <w:jc w:val="left"/>
        <w:rPr>
          <w:color w:val="auto"/>
        </w:rPr>
      </w:pPr>
      <w:r>
        <w:rPr>
          <w:color w:val="auto"/>
        </w:rPr>
        <w:t>(2)采购计划编号：___________________________</w:t>
      </w:r>
    </w:p>
    <w:p w14:paraId="17243371">
      <w:pPr>
        <w:pStyle w:val="26"/>
        <w:jc w:val="left"/>
        <w:rPr>
          <w:color w:val="auto"/>
        </w:rPr>
      </w:pPr>
      <w:r>
        <w:rPr>
          <w:color w:val="auto"/>
        </w:rPr>
        <w:t>(3)项目内容：</w:t>
      </w:r>
    </w:p>
    <w:p w14:paraId="6395A348">
      <w:pPr>
        <w:pStyle w:val="26"/>
        <w:jc w:val="left"/>
        <w:rPr>
          <w:color w:val="auto"/>
        </w:rPr>
      </w:pPr>
      <w:r>
        <w:rPr>
          <w:color w:val="auto"/>
        </w:rPr>
        <w:t>采购标的及数量（台/套/个/架/组等）：___________________</w:t>
      </w:r>
    </w:p>
    <w:p w14:paraId="7D469C27">
      <w:pPr>
        <w:pStyle w:val="26"/>
        <w:jc w:val="left"/>
        <w:rPr>
          <w:color w:val="auto"/>
        </w:rPr>
      </w:pPr>
      <w:r>
        <w:rPr>
          <w:color w:val="auto"/>
        </w:rPr>
        <w:t xml:space="preserve"> 品牌： ___________________ 规格型号：___________________</w:t>
      </w:r>
    </w:p>
    <w:p w14:paraId="770B4090">
      <w:pPr>
        <w:pStyle w:val="26"/>
        <w:jc w:val="left"/>
        <w:rPr>
          <w:color w:val="auto"/>
        </w:rPr>
      </w:pPr>
      <w:r>
        <w:rPr>
          <w:color w:val="auto"/>
        </w:rPr>
        <w:t>采购标的的技术要求、商务要求具体见附件。</w:t>
      </w:r>
    </w:p>
    <w:p w14:paraId="0942426F">
      <w:pPr>
        <w:pStyle w:val="26"/>
        <w:jc w:val="left"/>
        <w:rPr>
          <w:color w:val="auto"/>
        </w:rPr>
      </w:pPr>
      <w:r>
        <w:rPr>
          <w:color w:val="auto"/>
        </w:rPr>
        <w:t>①涉及信息类产品，请填写该产品关键部件的品牌、型号：</w:t>
      </w:r>
    </w:p>
    <w:p w14:paraId="4EAF615B">
      <w:pPr>
        <w:pStyle w:val="26"/>
        <w:jc w:val="left"/>
        <w:rPr>
          <w:color w:val="auto"/>
        </w:rPr>
      </w:pPr>
      <w:r>
        <w:rPr>
          <w:color w:val="auto"/>
        </w:rPr>
        <w:t>标的名称： ___________________</w:t>
      </w:r>
    </w:p>
    <w:p w14:paraId="11851F89">
      <w:pPr>
        <w:pStyle w:val="26"/>
        <w:jc w:val="left"/>
        <w:rPr>
          <w:color w:val="auto"/>
        </w:rPr>
      </w:pPr>
      <w:r>
        <w:rPr>
          <w:color w:val="auto"/>
        </w:rPr>
        <w:t>关键部件： ___________________ 品牌：___________________ 型号： ___________________</w:t>
      </w:r>
    </w:p>
    <w:p w14:paraId="5D6C57FE">
      <w:pPr>
        <w:pStyle w:val="26"/>
        <w:jc w:val="left"/>
        <w:rPr>
          <w:color w:val="auto"/>
        </w:rPr>
      </w:pPr>
      <w:r>
        <w:rPr>
          <w:color w:val="auto"/>
        </w:rPr>
        <w:t>关键部件： ___________________ 品牌：___________________ 型号： ___________________</w:t>
      </w:r>
    </w:p>
    <w:p w14:paraId="358DCCB1">
      <w:pPr>
        <w:pStyle w:val="26"/>
        <w:jc w:val="left"/>
        <w:rPr>
          <w:color w:val="auto"/>
        </w:rPr>
      </w:pPr>
      <w:r>
        <w:rPr>
          <w:color w:val="auto"/>
        </w:rPr>
        <w:t>关键部件： ___________________ 品牌：___________________ 型号： ___________________</w:t>
      </w:r>
    </w:p>
    <w:p w14:paraId="1BE0C346">
      <w:pPr>
        <w:pStyle w:val="26"/>
        <w:jc w:val="left"/>
        <w:rPr>
          <w:color w:val="auto"/>
        </w:rPr>
      </w:pPr>
      <w:r>
        <w:rPr>
          <w:color w:val="auto"/>
        </w:rPr>
        <w:t>（注：关键部件是指财政部会同有关部门发布的政府采购需求标准规定的需要通过国家有关部门指定的测评机构开展的安全可靠测评的软硬件，如CPU芯片、操作系统、数据库等。）</w:t>
      </w:r>
    </w:p>
    <w:p w14:paraId="00A63DEC">
      <w:pPr>
        <w:pStyle w:val="26"/>
        <w:jc w:val="left"/>
        <w:rPr>
          <w:color w:val="auto"/>
        </w:rPr>
      </w:pPr>
      <w:r>
        <w:rPr>
          <w:color w:val="auto"/>
        </w:rPr>
        <w:t>②涉及车辆采购，请填写是否属于新能源汽车：</w:t>
      </w:r>
    </w:p>
    <w:p w14:paraId="39F2BF81">
      <w:pPr>
        <w:pStyle w:val="26"/>
        <w:jc w:val="left"/>
        <w:rPr>
          <w:color w:val="auto"/>
        </w:rPr>
      </w:pPr>
      <w:r>
        <w:rPr>
          <w:color w:val="auto"/>
        </w:rPr>
        <w:t xml:space="preserve"> 是，《政府采购品目分类目录》底级品目名称：__________  数量：__________  金额：__________</w:t>
      </w:r>
    </w:p>
    <w:p w14:paraId="2E556FA1">
      <w:pPr>
        <w:pStyle w:val="26"/>
        <w:spacing w:line="300" w:lineRule="auto"/>
        <w:jc w:val="left"/>
        <w:rPr>
          <w:color w:val="auto"/>
        </w:rPr>
      </w:pPr>
      <w:r>
        <w:rPr>
          <w:color w:val="auto"/>
        </w:rPr>
        <w:t xml:space="preserve"> 否</w:t>
      </w:r>
    </w:p>
    <w:p w14:paraId="3E222519">
      <w:pPr>
        <w:pStyle w:val="26"/>
        <w:jc w:val="left"/>
        <w:rPr>
          <w:color w:val="auto"/>
        </w:rPr>
      </w:pPr>
      <w:r>
        <w:rPr>
          <w:color w:val="auto"/>
        </w:rPr>
        <w:t>(4)政府采购组织形式：政府集中采购 部门集中采购 分散采购</w:t>
      </w:r>
    </w:p>
    <w:p w14:paraId="17B0744C">
      <w:pPr>
        <w:pStyle w:val="26"/>
        <w:jc w:val="left"/>
        <w:rPr>
          <w:color w:val="auto"/>
        </w:rPr>
      </w:pPr>
      <w:r>
        <w:rPr>
          <w:color w:val="auto"/>
        </w:rPr>
        <w:t>(5)政府采购方式：公开招标 邀请招标 竞争性谈判 竞争性磋商询价 单一来源 框架协议 其他：____________________</w:t>
      </w:r>
    </w:p>
    <w:p w14:paraId="3FE6BE82">
      <w:pPr>
        <w:pStyle w:val="26"/>
        <w:jc w:val="left"/>
        <w:rPr>
          <w:color w:val="auto"/>
        </w:rPr>
      </w:pPr>
      <w:r>
        <w:rPr>
          <w:color w:val="auto"/>
        </w:rPr>
        <w:t>(6)中标（成交）采购标的制造商是否为中小企业：是否</w:t>
      </w:r>
    </w:p>
    <w:p w14:paraId="710B7A06">
      <w:pPr>
        <w:pStyle w:val="26"/>
        <w:jc w:val="left"/>
        <w:rPr>
          <w:color w:val="auto"/>
        </w:rPr>
      </w:pPr>
      <w:r>
        <w:rPr>
          <w:color w:val="auto"/>
        </w:rPr>
        <w:t>本合同是否为专门面向中小企业的采购合同（中小企业预留合同）：是否</w:t>
      </w:r>
    </w:p>
    <w:p w14:paraId="0407BC3D">
      <w:pPr>
        <w:pStyle w:val="26"/>
        <w:jc w:val="left"/>
        <w:rPr>
          <w:color w:val="auto"/>
        </w:rPr>
      </w:pPr>
      <w:r>
        <w:rPr>
          <w:color w:val="auto"/>
        </w:rPr>
        <w:t>若本项目不专门面向中小企业采购，是否给予小微企业评审优惠：是否</w:t>
      </w:r>
    </w:p>
    <w:p w14:paraId="375FADDF">
      <w:pPr>
        <w:pStyle w:val="26"/>
        <w:jc w:val="left"/>
        <w:rPr>
          <w:color w:val="auto"/>
        </w:rPr>
      </w:pPr>
      <w:r>
        <w:rPr>
          <w:color w:val="auto"/>
        </w:rPr>
        <w:t>中标（成交）采购标的制造商是否为残疾人福利性单位：是否</w:t>
      </w:r>
    </w:p>
    <w:p w14:paraId="78B12BF1">
      <w:pPr>
        <w:pStyle w:val="26"/>
        <w:jc w:val="left"/>
        <w:rPr>
          <w:color w:val="auto"/>
        </w:rPr>
      </w:pPr>
      <w:r>
        <w:rPr>
          <w:color w:val="auto"/>
        </w:rPr>
        <w:t>中标（成交）采购标的制造商是否为监狱企业：是否</w:t>
      </w:r>
    </w:p>
    <w:p w14:paraId="7B4D9200">
      <w:pPr>
        <w:pStyle w:val="26"/>
        <w:jc w:val="left"/>
        <w:rPr>
          <w:color w:val="auto"/>
        </w:rPr>
      </w:pPr>
      <w:r>
        <w:rPr>
          <w:color w:val="auto"/>
        </w:rPr>
        <w:t>(7)合同是否分包：是否</w:t>
      </w:r>
    </w:p>
    <w:p w14:paraId="72295645">
      <w:pPr>
        <w:pStyle w:val="26"/>
        <w:jc w:val="left"/>
        <w:rPr>
          <w:color w:val="auto"/>
        </w:rPr>
      </w:pPr>
      <w:r>
        <w:rPr>
          <w:color w:val="auto"/>
        </w:rPr>
        <w:t>分包主要内容：________________________________________</w:t>
      </w:r>
    </w:p>
    <w:p w14:paraId="7E1D0FE2">
      <w:pPr>
        <w:pStyle w:val="26"/>
        <w:jc w:val="left"/>
        <w:rPr>
          <w:color w:val="auto"/>
        </w:rPr>
      </w:pPr>
      <w:r>
        <w:rPr>
          <w:color w:val="auto"/>
        </w:rPr>
        <w:t>分包供应商/制造商名称（如供应商和制造商不同，请分别填写）：</w:t>
      </w:r>
    </w:p>
    <w:p w14:paraId="096229CD">
      <w:pPr>
        <w:pStyle w:val="26"/>
        <w:jc w:val="left"/>
        <w:rPr>
          <w:color w:val="auto"/>
        </w:rPr>
      </w:pPr>
      <w:r>
        <w:rPr>
          <w:color w:val="auto"/>
        </w:rPr>
        <w:t>________________________________________</w:t>
      </w:r>
    </w:p>
    <w:p w14:paraId="034A2D56">
      <w:pPr>
        <w:pStyle w:val="26"/>
        <w:jc w:val="left"/>
        <w:rPr>
          <w:color w:val="auto"/>
        </w:rPr>
      </w:pPr>
      <w:r>
        <w:rPr>
          <w:color w:val="auto"/>
        </w:rPr>
        <w:t>分包供应商/制造商类型（如果供应商和制造商不同，只填写制造商类型）：</w:t>
      </w:r>
    </w:p>
    <w:p w14:paraId="77B687A0">
      <w:pPr>
        <w:pStyle w:val="26"/>
        <w:jc w:val="left"/>
        <w:rPr>
          <w:color w:val="auto"/>
        </w:rPr>
      </w:pPr>
      <w:r>
        <w:rPr>
          <w:color w:val="auto"/>
        </w:rPr>
        <w:t>大型企业中型企业小微型企业</w:t>
      </w:r>
    </w:p>
    <w:p w14:paraId="0167C1E3">
      <w:pPr>
        <w:pStyle w:val="26"/>
        <w:jc w:val="left"/>
        <w:rPr>
          <w:color w:val="auto"/>
        </w:rPr>
      </w:pPr>
      <w:r>
        <w:rPr>
          <w:color w:val="auto"/>
        </w:rPr>
        <w:t>残疾人福利性单位监狱企业其他</w:t>
      </w:r>
    </w:p>
    <w:p w14:paraId="564EFD03">
      <w:pPr>
        <w:pStyle w:val="26"/>
        <w:jc w:val="left"/>
        <w:rPr>
          <w:color w:val="auto"/>
        </w:rPr>
      </w:pPr>
      <w:r>
        <w:rPr>
          <w:color w:val="auto"/>
        </w:rPr>
        <w:t>(8)中标（成交）供应商是否为外商投资企业：是否</w:t>
      </w:r>
    </w:p>
    <w:p w14:paraId="060D414F">
      <w:pPr>
        <w:pStyle w:val="26"/>
        <w:spacing w:line="300" w:lineRule="auto"/>
        <w:ind w:firstLine="840"/>
        <w:jc w:val="left"/>
        <w:rPr>
          <w:color w:val="auto"/>
        </w:rPr>
      </w:pPr>
      <w:r>
        <w:rPr>
          <w:color w:val="auto"/>
        </w:rPr>
        <w:t>外商投资企业类型：全部由外国投资者投资部分由外国投资者投资</w:t>
      </w:r>
    </w:p>
    <w:p w14:paraId="7FD39C64">
      <w:pPr>
        <w:pStyle w:val="26"/>
        <w:jc w:val="left"/>
        <w:rPr>
          <w:color w:val="auto"/>
        </w:rPr>
      </w:pPr>
      <w:r>
        <w:rPr>
          <w:color w:val="auto"/>
        </w:rPr>
        <w:t>（9）是否涉及进口产品：</w:t>
      </w:r>
    </w:p>
    <w:p w14:paraId="73F6E906">
      <w:pPr>
        <w:pStyle w:val="26"/>
        <w:jc w:val="left"/>
        <w:rPr>
          <w:color w:val="auto"/>
        </w:rPr>
      </w:pPr>
      <w:r>
        <w:rPr>
          <w:color w:val="auto"/>
        </w:rPr>
        <w:t xml:space="preserve"> 是，《政府采购品目分类目录》底级品目名称：__________  金额：__________</w:t>
      </w:r>
    </w:p>
    <w:p w14:paraId="489EF71B">
      <w:pPr>
        <w:pStyle w:val="26"/>
        <w:spacing w:line="300" w:lineRule="auto"/>
        <w:ind w:firstLine="1260"/>
        <w:jc w:val="left"/>
        <w:rPr>
          <w:color w:val="auto"/>
        </w:rPr>
      </w:pPr>
      <w:r>
        <w:rPr>
          <w:color w:val="auto"/>
        </w:rPr>
        <w:t>国别：__________  品牌：__________  规格型号__________</w:t>
      </w:r>
    </w:p>
    <w:p w14:paraId="261FAC5E">
      <w:pPr>
        <w:pStyle w:val="26"/>
        <w:spacing w:line="300" w:lineRule="auto"/>
        <w:ind w:firstLine="840"/>
        <w:jc w:val="left"/>
        <w:rPr>
          <w:color w:val="auto"/>
        </w:rPr>
      </w:pPr>
      <w:r>
        <w:rPr>
          <w:color w:val="auto"/>
        </w:rPr>
        <w:t xml:space="preserve"> 否</w:t>
      </w:r>
    </w:p>
    <w:p w14:paraId="7C94BE44">
      <w:pPr>
        <w:pStyle w:val="26"/>
        <w:jc w:val="left"/>
        <w:rPr>
          <w:color w:val="auto"/>
        </w:rPr>
      </w:pPr>
      <w:r>
        <w:rPr>
          <w:color w:val="auto"/>
        </w:rPr>
        <w:t>（10）是否涉及节能产品：</w:t>
      </w:r>
    </w:p>
    <w:p w14:paraId="3DEACBD6">
      <w:pPr>
        <w:pStyle w:val="26"/>
        <w:jc w:val="left"/>
        <w:rPr>
          <w:color w:val="auto"/>
        </w:rPr>
      </w:pPr>
      <w:r>
        <w:rPr>
          <w:color w:val="auto"/>
        </w:rPr>
        <w:t xml:space="preserve"> 是，《节能产品政府采购品目清单》的底级品目名称：__________</w:t>
      </w:r>
    </w:p>
    <w:p w14:paraId="5EDEF024">
      <w:pPr>
        <w:pStyle w:val="26"/>
        <w:spacing w:line="300" w:lineRule="auto"/>
        <w:ind w:firstLine="1260"/>
        <w:jc w:val="left"/>
        <w:rPr>
          <w:color w:val="auto"/>
        </w:rPr>
      </w:pPr>
      <w:r>
        <w:rPr>
          <w:color w:val="auto"/>
        </w:rPr>
        <w:t xml:space="preserve"> 强制采购         优先采购</w:t>
      </w:r>
    </w:p>
    <w:p w14:paraId="71ABD985">
      <w:pPr>
        <w:pStyle w:val="26"/>
        <w:spacing w:line="300" w:lineRule="auto"/>
        <w:ind w:firstLine="840"/>
        <w:jc w:val="left"/>
        <w:rPr>
          <w:color w:val="auto"/>
        </w:rPr>
      </w:pPr>
      <w:r>
        <w:rPr>
          <w:color w:val="auto"/>
        </w:rPr>
        <w:t xml:space="preserve"> 否</w:t>
      </w:r>
    </w:p>
    <w:p w14:paraId="34A55309">
      <w:pPr>
        <w:pStyle w:val="26"/>
        <w:ind w:firstLine="840"/>
        <w:jc w:val="left"/>
        <w:rPr>
          <w:color w:val="auto"/>
        </w:rPr>
      </w:pPr>
      <w:r>
        <w:rPr>
          <w:color w:val="auto"/>
        </w:rPr>
        <w:t>是否涉及环境标志产品：</w:t>
      </w:r>
    </w:p>
    <w:p w14:paraId="50FA4EE2">
      <w:pPr>
        <w:pStyle w:val="26"/>
        <w:jc w:val="left"/>
        <w:rPr>
          <w:color w:val="auto"/>
        </w:rPr>
      </w:pPr>
      <w:r>
        <w:rPr>
          <w:color w:val="auto"/>
        </w:rPr>
        <w:t xml:space="preserve"> 是，《环境标志产品政府采购品目清单》的底级品目名称：__________</w:t>
      </w:r>
    </w:p>
    <w:p w14:paraId="034FDD04">
      <w:pPr>
        <w:pStyle w:val="26"/>
        <w:spacing w:line="300" w:lineRule="auto"/>
        <w:ind w:firstLine="1260"/>
        <w:jc w:val="left"/>
        <w:rPr>
          <w:color w:val="auto"/>
        </w:rPr>
      </w:pPr>
      <w:r>
        <w:rPr>
          <w:color w:val="auto"/>
        </w:rPr>
        <w:t xml:space="preserve"> 强制采购         优先采购</w:t>
      </w:r>
    </w:p>
    <w:p w14:paraId="59F0F9DC">
      <w:pPr>
        <w:pStyle w:val="26"/>
        <w:spacing w:line="300" w:lineRule="auto"/>
        <w:ind w:firstLine="840"/>
        <w:jc w:val="left"/>
        <w:rPr>
          <w:color w:val="auto"/>
        </w:rPr>
      </w:pPr>
      <w:r>
        <w:rPr>
          <w:color w:val="auto"/>
        </w:rPr>
        <w:t xml:space="preserve"> 否</w:t>
      </w:r>
    </w:p>
    <w:p w14:paraId="6940BEBD">
      <w:pPr>
        <w:pStyle w:val="26"/>
        <w:ind w:firstLine="840"/>
        <w:jc w:val="left"/>
        <w:rPr>
          <w:color w:val="auto"/>
        </w:rPr>
      </w:pPr>
      <w:r>
        <w:rPr>
          <w:color w:val="auto"/>
        </w:rPr>
        <w:t>是否涉及绿色产品：</w:t>
      </w:r>
    </w:p>
    <w:p w14:paraId="28D40456">
      <w:pPr>
        <w:pStyle w:val="26"/>
        <w:jc w:val="left"/>
        <w:rPr>
          <w:color w:val="auto"/>
        </w:rPr>
      </w:pPr>
      <w:r>
        <w:rPr>
          <w:color w:val="auto"/>
        </w:rPr>
        <w:t xml:space="preserve"> 是，绿色产品政府采购相关政策确定的底级品目名称：__________</w:t>
      </w:r>
    </w:p>
    <w:p w14:paraId="5F9250A4">
      <w:pPr>
        <w:pStyle w:val="26"/>
        <w:spacing w:line="300" w:lineRule="auto"/>
        <w:ind w:firstLine="1260"/>
        <w:jc w:val="left"/>
        <w:rPr>
          <w:color w:val="auto"/>
        </w:rPr>
      </w:pPr>
      <w:r>
        <w:rPr>
          <w:color w:val="auto"/>
        </w:rPr>
        <w:t xml:space="preserve"> 强制采购         优先采购</w:t>
      </w:r>
    </w:p>
    <w:p w14:paraId="04201D0D">
      <w:pPr>
        <w:pStyle w:val="26"/>
        <w:spacing w:line="300" w:lineRule="auto"/>
        <w:ind w:firstLine="840"/>
        <w:jc w:val="left"/>
        <w:rPr>
          <w:color w:val="auto"/>
        </w:rPr>
      </w:pPr>
      <w:r>
        <w:rPr>
          <w:color w:val="auto"/>
        </w:rPr>
        <w:t xml:space="preserve"> 否</w:t>
      </w:r>
    </w:p>
    <w:p w14:paraId="7DFF36A2">
      <w:pPr>
        <w:pStyle w:val="26"/>
        <w:jc w:val="left"/>
        <w:rPr>
          <w:color w:val="auto"/>
        </w:rPr>
      </w:pPr>
      <w:r>
        <w:rPr>
          <w:color w:val="auto"/>
        </w:rPr>
        <w:t xml:space="preserve"> (11)涉及商品包装和快递包装的，是否参考《商品包装政府采购需求标准（试行）》、《快递包装政府采购需求标准（试行）》明确产品及相关快递服务的具体包装要求：</w:t>
      </w:r>
    </w:p>
    <w:p w14:paraId="2C7D745E">
      <w:pPr>
        <w:pStyle w:val="26"/>
        <w:jc w:val="left"/>
        <w:rPr>
          <w:color w:val="auto"/>
        </w:rPr>
      </w:pPr>
      <w:r>
        <w:rPr>
          <w:color w:val="auto"/>
        </w:rPr>
        <w:t>是         否        不涉及</w:t>
      </w:r>
    </w:p>
    <w:p w14:paraId="341E6FA9">
      <w:pPr>
        <w:pStyle w:val="26"/>
        <w:jc w:val="left"/>
        <w:outlineLvl w:val="2"/>
        <w:rPr>
          <w:color w:val="auto"/>
        </w:rPr>
      </w:pPr>
      <w:r>
        <w:rPr>
          <w:b/>
          <w:color w:val="auto"/>
          <w:sz w:val="28"/>
        </w:rPr>
        <w:t>2.合同金额</w:t>
      </w:r>
    </w:p>
    <w:p w14:paraId="5478A34E">
      <w:pPr>
        <w:pStyle w:val="26"/>
        <w:jc w:val="left"/>
        <w:rPr>
          <w:color w:val="auto"/>
        </w:rPr>
      </w:pPr>
      <w:r>
        <w:rPr>
          <w:color w:val="auto"/>
        </w:rPr>
        <w:t>（1）合同金额小写：____________________</w:t>
      </w:r>
    </w:p>
    <w:p w14:paraId="2B9E5FF6">
      <w:pPr>
        <w:pStyle w:val="26"/>
        <w:ind w:firstLine="1980"/>
        <w:jc w:val="left"/>
        <w:rPr>
          <w:color w:val="auto"/>
        </w:rPr>
      </w:pPr>
      <w:r>
        <w:rPr>
          <w:color w:val="auto"/>
        </w:rPr>
        <w:t>大写：____________________</w:t>
      </w:r>
    </w:p>
    <w:p w14:paraId="38222B2B">
      <w:pPr>
        <w:pStyle w:val="26"/>
        <w:jc w:val="left"/>
        <w:rPr>
          <w:color w:val="auto"/>
        </w:rPr>
      </w:pPr>
      <w:r>
        <w:rPr>
          <w:color w:val="auto"/>
        </w:rPr>
        <w:t xml:space="preserve">  </w:t>
      </w:r>
    </w:p>
    <w:p w14:paraId="6252FCAC">
      <w:pPr>
        <w:pStyle w:val="26"/>
        <w:jc w:val="left"/>
        <w:outlineLvl w:val="2"/>
        <w:rPr>
          <w:rFonts w:hint="eastAsia"/>
          <w:b/>
          <w:color w:val="auto"/>
          <w:sz w:val="28"/>
        </w:rPr>
      </w:pPr>
      <w:r>
        <w:rPr>
          <w:rFonts w:hint="eastAsia"/>
          <w:b/>
          <w:color w:val="auto"/>
          <w:sz w:val="28"/>
        </w:rPr>
        <w:t>（2）合同支付方式</w:t>
      </w:r>
      <w:r>
        <w:rPr>
          <w:rFonts w:hint="eastAsia"/>
          <w:b/>
          <w:color w:val="auto"/>
          <w:sz w:val="28"/>
          <w:lang w:eastAsia="zh-CN"/>
        </w:rPr>
        <w:t>：</w:t>
      </w:r>
      <w:r>
        <w:rPr>
          <w:rFonts w:hint="eastAsia"/>
          <w:b/>
          <w:color w:val="auto"/>
          <w:sz w:val="28"/>
        </w:rPr>
        <w:t>合同签订后10个工作日内支付合同金额的</w:t>
      </w:r>
      <w:r>
        <w:rPr>
          <w:rFonts w:hint="eastAsia"/>
          <w:b/>
          <w:color w:val="auto"/>
          <w:sz w:val="28"/>
          <w:lang w:val="en-US" w:eastAsia="zh-CN"/>
        </w:rPr>
        <w:t>30</w:t>
      </w:r>
      <w:r>
        <w:rPr>
          <w:rFonts w:hint="eastAsia"/>
          <w:b/>
          <w:color w:val="auto"/>
          <w:sz w:val="28"/>
        </w:rPr>
        <w:t>%；货物全部到货</w:t>
      </w:r>
      <w:r>
        <w:rPr>
          <w:rFonts w:hint="eastAsia"/>
          <w:b/>
          <w:color w:val="auto"/>
          <w:sz w:val="28"/>
          <w:lang w:val="en-US" w:eastAsia="zh-CN"/>
        </w:rPr>
        <w:t>完成车辆上牌（乙方配合甲方上牌）</w:t>
      </w:r>
      <w:r>
        <w:rPr>
          <w:rFonts w:hint="eastAsia"/>
          <w:b/>
          <w:color w:val="auto"/>
          <w:sz w:val="28"/>
        </w:rPr>
        <w:t>且验收合格后10个工作日内支付剩余</w:t>
      </w:r>
      <w:r>
        <w:rPr>
          <w:rFonts w:hint="eastAsia"/>
          <w:b/>
          <w:color w:val="auto"/>
          <w:sz w:val="28"/>
          <w:lang w:val="en-US" w:eastAsia="zh-CN"/>
        </w:rPr>
        <w:t>70</w:t>
      </w:r>
      <w:r>
        <w:rPr>
          <w:rFonts w:hint="eastAsia"/>
          <w:b/>
          <w:color w:val="auto"/>
          <w:sz w:val="28"/>
        </w:rPr>
        <w:t>%的合同款。</w:t>
      </w:r>
    </w:p>
    <w:p w14:paraId="18D14616">
      <w:pPr>
        <w:pStyle w:val="26"/>
        <w:jc w:val="left"/>
        <w:outlineLvl w:val="2"/>
        <w:rPr>
          <w:color w:val="auto"/>
        </w:rPr>
      </w:pPr>
      <w:r>
        <w:rPr>
          <w:b/>
          <w:color w:val="auto"/>
          <w:sz w:val="28"/>
        </w:rPr>
        <w:t>3.合同履行</w:t>
      </w:r>
    </w:p>
    <w:p w14:paraId="56355FFA">
      <w:pPr>
        <w:pStyle w:val="26"/>
        <w:jc w:val="left"/>
        <w:outlineLvl w:val="2"/>
        <w:rPr>
          <w:rFonts w:hint="eastAsia"/>
          <w:b/>
          <w:color w:val="auto"/>
          <w:sz w:val="28"/>
        </w:rPr>
      </w:pPr>
      <w:r>
        <w:rPr>
          <w:rFonts w:hint="eastAsia"/>
          <w:b/>
          <w:color w:val="auto"/>
          <w:sz w:val="28"/>
        </w:rPr>
        <w:t>合同签订后45天内交货</w:t>
      </w:r>
    </w:p>
    <w:p w14:paraId="311397FB">
      <w:pPr>
        <w:pStyle w:val="26"/>
        <w:jc w:val="left"/>
        <w:outlineLvl w:val="2"/>
        <w:rPr>
          <w:color w:val="auto"/>
        </w:rPr>
      </w:pPr>
      <w:r>
        <w:rPr>
          <w:b/>
          <w:color w:val="auto"/>
          <w:sz w:val="28"/>
        </w:rPr>
        <w:t>4.合同验收</w:t>
      </w:r>
    </w:p>
    <w:p w14:paraId="035366DB">
      <w:pPr>
        <w:pStyle w:val="26"/>
        <w:jc w:val="left"/>
        <w:rPr>
          <w:color w:val="auto"/>
        </w:rPr>
      </w:pPr>
      <w:r>
        <w:rPr>
          <w:color w:val="auto"/>
        </w:rPr>
        <w:t>（1）验收组织方式：自行验收委托第三方验收</w:t>
      </w:r>
    </w:p>
    <w:p w14:paraId="05186284">
      <w:pPr>
        <w:pStyle w:val="26"/>
        <w:jc w:val="left"/>
        <w:rPr>
          <w:color w:val="auto"/>
        </w:rPr>
      </w:pPr>
      <w:r>
        <w:rPr>
          <w:color w:val="auto"/>
        </w:rPr>
        <w:t>验收主体：____________________</w:t>
      </w:r>
    </w:p>
    <w:p w14:paraId="5FCE66F1">
      <w:pPr>
        <w:pStyle w:val="26"/>
        <w:jc w:val="left"/>
        <w:rPr>
          <w:color w:val="auto"/>
        </w:rPr>
      </w:pPr>
      <w:r>
        <w:rPr>
          <w:color w:val="auto"/>
        </w:rPr>
        <w:t>是否邀请本项目的其他供应商参加验收：是否</w:t>
      </w:r>
    </w:p>
    <w:p w14:paraId="5EDA15D7">
      <w:pPr>
        <w:pStyle w:val="26"/>
        <w:jc w:val="left"/>
        <w:rPr>
          <w:color w:val="auto"/>
        </w:rPr>
      </w:pPr>
      <w:r>
        <w:rPr>
          <w:color w:val="auto"/>
        </w:rPr>
        <w:t>是否邀请专家参加验收：是否</w:t>
      </w:r>
    </w:p>
    <w:p w14:paraId="1507B879">
      <w:pPr>
        <w:pStyle w:val="26"/>
        <w:jc w:val="left"/>
        <w:rPr>
          <w:color w:val="auto"/>
        </w:rPr>
      </w:pPr>
      <w:r>
        <w:rPr>
          <w:color w:val="auto"/>
        </w:rPr>
        <w:t>是否邀请服务对象参加验收：是否</w:t>
      </w:r>
    </w:p>
    <w:p w14:paraId="77ADAE26">
      <w:pPr>
        <w:pStyle w:val="26"/>
        <w:jc w:val="left"/>
        <w:rPr>
          <w:color w:val="auto"/>
        </w:rPr>
      </w:pPr>
      <w:r>
        <w:rPr>
          <w:color w:val="auto"/>
        </w:rPr>
        <w:t>是否邀请第三方检测机构参加验收：是否</w:t>
      </w:r>
    </w:p>
    <w:p w14:paraId="6DE18046">
      <w:pPr>
        <w:pStyle w:val="26"/>
        <w:jc w:val="left"/>
        <w:rPr>
          <w:color w:val="auto"/>
        </w:rPr>
      </w:pPr>
      <w:r>
        <w:rPr>
          <w:color w:val="auto"/>
        </w:rPr>
        <w:t>是否进行抽查检测： 是，抽查比例：__________%否</w:t>
      </w:r>
    </w:p>
    <w:p w14:paraId="1E5A3403">
      <w:pPr>
        <w:pStyle w:val="26"/>
        <w:jc w:val="left"/>
        <w:rPr>
          <w:color w:val="auto"/>
        </w:rPr>
      </w:pPr>
      <w:r>
        <w:rPr>
          <w:color w:val="auto"/>
        </w:rPr>
        <w:t>是否存在破坏性检测： 是，__________否</w:t>
      </w:r>
    </w:p>
    <w:p w14:paraId="44148FD8">
      <w:pPr>
        <w:pStyle w:val="26"/>
        <w:jc w:val="left"/>
        <w:rPr>
          <w:color w:val="auto"/>
        </w:rPr>
      </w:pPr>
      <w:r>
        <w:rPr>
          <w:color w:val="auto"/>
        </w:rPr>
        <w:t>验收组织的其他事项：____________________</w:t>
      </w:r>
    </w:p>
    <w:p w14:paraId="1B06504F">
      <w:pPr>
        <w:pStyle w:val="26"/>
        <w:jc w:val="left"/>
        <w:rPr>
          <w:color w:val="auto"/>
        </w:rPr>
      </w:pPr>
      <w:r>
        <w:rPr>
          <w:color w:val="auto"/>
        </w:rPr>
        <w:t>（2）履约验收时间：计划于何时验收/供应商提出验收申请之日起_______日内组织验收</w:t>
      </w:r>
    </w:p>
    <w:p w14:paraId="287992A9">
      <w:pPr>
        <w:pStyle w:val="26"/>
        <w:jc w:val="left"/>
        <w:rPr>
          <w:color w:val="auto"/>
        </w:rPr>
      </w:pPr>
      <w:r>
        <w:rPr>
          <w:color w:val="auto"/>
        </w:rPr>
        <w:t>（3）履约验收方式：一次性验收分期/分项验收：__________</w:t>
      </w:r>
    </w:p>
    <w:p w14:paraId="035946B5">
      <w:pPr>
        <w:pStyle w:val="26"/>
        <w:jc w:val="left"/>
        <w:rPr>
          <w:color w:val="auto"/>
        </w:rPr>
      </w:pPr>
      <w:r>
        <w:rPr>
          <w:color w:val="auto"/>
        </w:rPr>
        <w:t>（4）履约验收程序：____________________</w:t>
      </w:r>
    </w:p>
    <w:p w14:paraId="6E756B0D">
      <w:pPr>
        <w:pStyle w:val="26"/>
        <w:jc w:val="left"/>
        <w:rPr>
          <w:color w:val="auto"/>
        </w:rPr>
      </w:pPr>
      <w:r>
        <w:rPr>
          <w:color w:val="auto"/>
        </w:rPr>
        <w:t>（5）履约验收的内容：_________（应当包括每一项技术和商务要求的履约情况，特别是落实政府采购扶持中小企业，支持绿色发展和乡村振兴等政策情况）___________</w:t>
      </w:r>
    </w:p>
    <w:p w14:paraId="2EF1B396">
      <w:pPr>
        <w:pStyle w:val="26"/>
        <w:jc w:val="left"/>
        <w:rPr>
          <w:color w:val="auto"/>
        </w:rPr>
      </w:pPr>
      <w:r>
        <w:rPr>
          <w:color w:val="auto"/>
        </w:rPr>
        <w:t>（6）履约验收标准：_____________________________</w:t>
      </w:r>
    </w:p>
    <w:p w14:paraId="22774261">
      <w:pPr>
        <w:pStyle w:val="26"/>
        <w:jc w:val="left"/>
        <w:rPr>
          <w:color w:val="auto"/>
        </w:rPr>
      </w:pPr>
      <w:r>
        <w:rPr>
          <w:color w:val="auto"/>
        </w:rPr>
        <w:t>（7）是否以采购活动中供应商提供的样品作为参考：是否</w:t>
      </w:r>
    </w:p>
    <w:p w14:paraId="39914C20">
      <w:pPr>
        <w:pStyle w:val="26"/>
        <w:jc w:val="left"/>
        <w:rPr>
          <w:color w:val="auto"/>
        </w:rPr>
      </w:pPr>
      <w:r>
        <w:rPr>
          <w:color w:val="auto"/>
        </w:rPr>
        <w:t>（8）履约验收其他事项：_______________</w:t>
      </w:r>
    </w:p>
    <w:p w14:paraId="63E0B72F">
      <w:pPr>
        <w:pStyle w:val="26"/>
        <w:jc w:val="left"/>
        <w:outlineLvl w:val="2"/>
        <w:rPr>
          <w:color w:val="auto"/>
        </w:rPr>
      </w:pPr>
      <w:r>
        <w:rPr>
          <w:b/>
          <w:color w:val="auto"/>
          <w:sz w:val="28"/>
        </w:rPr>
        <w:t>5.组成合同的文件</w:t>
      </w:r>
    </w:p>
    <w:p w14:paraId="528C831E">
      <w:pPr>
        <w:pStyle w:val="26"/>
        <w:jc w:val="left"/>
        <w:rPr>
          <w:color w:val="auto"/>
        </w:rPr>
      </w:pPr>
      <w:r>
        <w:rPr>
          <w:color w:val="auto"/>
        </w:rPr>
        <w:t>本协议书与下列文件一起构成合同文件，如下述文件之间有任何抵触、矛盾或歧义，应按以下顺序解释：</w:t>
      </w:r>
    </w:p>
    <w:p w14:paraId="28E6499D">
      <w:pPr>
        <w:pStyle w:val="26"/>
        <w:jc w:val="left"/>
        <w:rPr>
          <w:color w:val="auto"/>
        </w:rPr>
      </w:pPr>
      <w:r>
        <w:rPr>
          <w:color w:val="auto"/>
        </w:rPr>
        <w:t>（1）</w:t>
      </w:r>
      <w:r>
        <w:rPr>
          <w:rFonts w:hint="eastAsia"/>
          <w:color w:val="auto"/>
          <w:lang w:eastAsia="zh-CN"/>
        </w:rPr>
        <w:t>企业采购</w:t>
      </w:r>
      <w:r>
        <w:rPr>
          <w:color w:val="auto"/>
        </w:rPr>
        <w:t>合同协议书及其变更、补充协议</w:t>
      </w:r>
    </w:p>
    <w:p w14:paraId="24270AB9">
      <w:pPr>
        <w:pStyle w:val="26"/>
        <w:jc w:val="left"/>
        <w:rPr>
          <w:color w:val="auto"/>
        </w:rPr>
      </w:pPr>
      <w:r>
        <w:rPr>
          <w:color w:val="auto"/>
        </w:rPr>
        <w:t>（2）</w:t>
      </w:r>
      <w:r>
        <w:rPr>
          <w:rFonts w:hint="eastAsia"/>
          <w:color w:val="auto"/>
          <w:lang w:eastAsia="zh-CN"/>
        </w:rPr>
        <w:t>企业采购</w:t>
      </w:r>
      <w:r>
        <w:rPr>
          <w:color w:val="auto"/>
        </w:rPr>
        <w:t>合同专用条款</w:t>
      </w:r>
    </w:p>
    <w:p w14:paraId="68C328EE">
      <w:pPr>
        <w:pStyle w:val="26"/>
        <w:jc w:val="left"/>
        <w:rPr>
          <w:color w:val="auto"/>
        </w:rPr>
      </w:pPr>
      <w:r>
        <w:rPr>
          <w:color w:val="auto"/>
        </w:rPr>
        <w:t>（3）</w:t>
      </w:r>
      <w:r>
        <w:rPr>
          <w:rFonts w:hint="eastAsia"/>
          <w:color w:val="auto"/>
          <w:lang w:eastAsia="zh-CN"/>
        </w:rPr>
        <w:t>企业采购</w:t>
      </w:r>
      <w:r>
        <w:rPr>
          <w:color w:val="auto"/>
        </w:rPr>
        <w:t>合同通用条款</w:t>
      </w:r>
    </w:p>
    <w:p w14:paraId="367FA2B9">
      <w:pPr>
        <w:pStyle w:val="26"/>
        <w:jc w:val="left"/>
        <w:rPr>
          <w:color w:val="auto"/>
        </w:rPr>
      </w:pPr>
      <w:r>
        <w:rPr>
          <w:color w:val="auto"/>
        </w:rPr>
        <w:t>（4）中标（成交）通知书</w:t>
      </w:r>
    </w:p>
    <w:p w14:paraId="4ADCED83">
      <w:pPr>
        <w:pStyle w:val="26"/>
        <w:jc w:val="left"/>
        <w:rPr>
          <w:color w:val="auto"/>
        </w:rPr>
      </w:pPr>
      <w:r>
        <w:rPr>
          <w:color w:val="auto"/>
        </w:rPr>
        <w:t>（5）投标（响应）文件</w:t>
      </w:r>
    </w:p>
    <w:p w14:paraId="181F37AF">
      <w:pPr>
        <w:pStyle w:val="26"/>
        <w:jc w:val="left"/>
        <w:rPr>
          <w:color w:val="auto"/>
        </w:rPr>
      </w:pPr>
      <w:r>
        <w:rPr>
          <w:color w:val="auto"/>
        </w:rPr>
        <w:t>（6）采购文件</w:t>
      </w:r>
    </w:p>
    <w:p w14:paraId="71B7DAD5">
      <w:pPr>
        <w:pStyle w:val="26"/>
        <w:jc w:val="left"/>
        <w:rPr>
          <w:color w:val="auto"/>
        </w:rPr>
      </w:pPr>
      <w:r>
        <w:rPr>
          <w:color w:val="auto"/>
        </w:rPr>
        <w:t>（7）有关技术文件，图纸</w:t>
      </w:r>
    </w:p>
    <w:p w14:paraId="57206F3F">
      <w:pPr>
        <w:pStyle w:val="26"/>
        <w:jc w:val="left"/>
        <w:rPr>
          <w:color w:val="auto"/>
        </w:rPr>
      </w:pPr>
      <w:r>
        <w:rPr>
          <w:color w:val="auto"/>
        </w:rPr>
        <w:t>（8）国家法律、行政法规和规章制度规定或合同约定的作为合同组成部分的其他文件</w:t>
      </w:r>
    </w:p>
    <w:p w14:paraId="54258145">
      <w:pPr>
        <w:pStyle w:val="26"/>
        <w:jc w:val="left"/>
        <w:outlineLvl w:val="2"/>
        <w:rPr>
          <w:color w:val="auto"/>
        </w:rPr>
      </w:pPr>
      <w:r>
        <w:rPr>
          <w:b/>
          <w:color w:val="auto"/>
          <w:sz w:val="28"/>
        </w:rPr>
        <w:t>6.合同生效</w:t>
      </w:r>
    </w:p>
    <w:p w14:paraId="179E4542">
      <w:pPr>
        <w:pStyle w:val="26"/>
        <w:jc w:val="left"/>
        <w:rPr>
          <w:color w:val="auto"/>
        </w:rPr>
      </w:pPr>
      <w:r>
        <w:rPr>
          <w:color w:val="auto"/>
        </w:rPr>
        <w:t>本合同自____________________生效。</w:t>
      </w:r>
    </w:p>
    <w:p w14:paraId="377C6B57">
      <w:pPr>
        <w:pStyle w:val="26"/>
        <w:jc w:val="left"/>
        <w:outlineLvl w:val="2"/>
        <w:rPr>
          <w:color w:val="auto"/>
        </w:rPr>
      </w:pPr>
      <w:r>
        <w:rPr>
          <w:b/>
          <w:color w:val="auto"/>
          <w:sz w:val="28"/>
        </w:rPr>
        <w:t>7.合同份数</w:t>
      </w:r>
    </w:p>
    <w:p w14:paraId="7E5DD141">
      <w:pPr>
        <w:pStyle w:val="26"/>
        <w:jc w:val="left"/>
        <w:rPr>
          <w:color w:val="auto"/>
        </w:rPr>
      </w:pPr>
      <w:r>
        <w:rPr>
          <w:color w:val="auto"/>
        </w:rPr>
        <w:t>本合同一式 _______ 份，甲方执 _______ 份，乙方执 _______ 份，均具有同等法律效力。</w:t>
      </w:r>
    </w:p>
    <w:p w14:paraId="28A4CF8A">
      <w:pPr>
        <w:pStyle w:val="26"/>
        <w:jc w:val="left"/>
        <w:rPr>
          <w:color w:val="auto"/>
        </w:rPr>
      </w:pPr>
      <w:r>
        <w:rPr>
          <w:color w:val="auto"/>
        </w:rPr>
        <w:t>合同订立时间：详见本合同封面的签订时间。</w:t>
      </w:r>
    </w:p>
    <w:p w14:paraId="07FE7640">
      <w:pPr>
        <w:pStyle w:val="26"/>
        <w:jc w:val="left"/>
        <w:rPr>
          <w:color w:val="auto"/>
        </w:rPr>
      </w:pPr>
      <w:r>
        <w:rPr>
          <w:color w:val="auto"/>
        </w:rPr>
        <w:t>合同订立地点： ____________________________</w:t>
      </w:r>
    </w:p>
    <w:p w14:paraId="3C349C21">
      <w:pPr>
        <w:pStyle w:val="26"/>
        <w:jc w:val="left"/>
        <w:rPr>
          <w:color w:val="auto"/>
        </w:rPr>
      </w:pPr>
      <w:r>
        <w:rPr>
          <w:color w:val="auto"/>
        </w:rPr>
        <w:t>附件：具体标的及其技术要求和商务要求、联合协议、分包意向协议等。</w:t>
      </w:r>
      <w:r>
        <w:rPr>
          <w:color w:val="auto"/>
        </w:rPr>
        <w:br w:type="textWrapping"/>
      </w:r>
      <w:r>
        <w:rPr>
          <w:color w:val="auto"/>
        </w:rPr>
        <w:br w:type="textWrapping"/>
      </w:r>
      <w:r>
        <w:rPr>
          <w:color w:val="auto"/>
        </w:rPr>
        <w:br w:type="textWrapping"/>
      </w:r>
    </w:p>
    <w:p w14:paraId="2D69D332">
      <w:pPr>
        <w:pStyle w:val="26"/>
        <w:jc w:val="left"/>
        <w:rPr>
          <w:color w:val="auto"/>
        </w:rPr>
      </w:pPr>
      <w:r>
        <w:rPr>
          <w:color w:val="auto"/>
        </w:rPr>
        <w:t>甲方（采购人、受采购人委托签订合同的单位或采购文件约定的合同甲方）</w:t>
      </w:r>
    </w:p>
    <w:p w14:paraId="67EE7967">
      <w:pPr>
        <w:pStyle w:val="26"/>
        <w:jc w:val="left"/>
        <w:rPr>
          <w:color w:val="auto"/>
        </w:rPr>
      </w:pPr>
      <w:r>
        <w:rPr>
          <w:color w:val="auto"/>
        </w:rPr>
        <w:t xml:space="preserve"> 单位名称（公章或合同章）： {{未填写}}（盖章）</w:t>
      </w:r>
    </w:p>
    <w:p w14:paraId="1A455960">
      <w:pPr>
        <w:pStyle w:val="26"/>
        <w:jc w:val="left"/>
        <w:rPr>
          <w:color w:val="auto"/>
        </w:rPr>
      </w:pPr>
      <w:r>
        <w:rPr>
          <w:color w:val="auto"/>
        </w:rPr>
        <w:t xml:space="preserve"> 法定代表人或其委托代理人（签章）：{{未填写}}</w:t>
      </w:r>
    </w:p>
    <w:p w14:paraId="6E7852FE">
      <w:pPr>
        <w:pStyle w:val="26"/>
        <w:jc w:val="left"/>
        <w:rPr>
          <w:color w:val="auto"/>
        </w:rPr>
      </w:pPr>
      <w:r>
        <w:rPr>
          <w:color w:val="auto"/>
        </w:rPr>
        <w:t xml:space="preserve"> 住 所：{{未填写}}</w:t>
      </w:r>
    </w:p>
    <w:p w14:paraId="6F30BBA6">
      <w:pPr>
        <w:pStyle w:val="26"/>
        <w:jc w:val="left"/>
        <w:rPr>
          <w:color w:val="auto"/>
        </w:rPr>
      </w:pPr>
      <w:r>
        <w:rPr>
          <w:color w:val="auto"/>
        </w:rPr>
        <w:t xml:space="preserve"> 联 系 人：{{未填写}}</w:t>
      </w:r>
    </w:p>
    <w:p w14:paraId="5ACB4499">
      <w:pPr>
        <w:pStyle w:val="26"/>
        <w:jc w:val="left"/>
        <w:rPr>
          <w:color w:val="auto"/>
        </w:rPr>
      </w:pPr>
      <w:r>
        <w:rPr>
          <w:color w:val="auto"/>
        </w:rPr>
        <w:t xml:space="preserve"> 联系电话：{{未填写}}</w:t>
      </w:r>
    </w:p>
    <w:p w14:paraId="33BE1AD3">
      <w:pPr>
        <w:pStyle w:val="26"/>
        <w:jc w:val="left"/>
        <w:rPr>
          <w:color w:val="auto"/>
        </w:rPr>
      </w:pPr>
      <w:r>
        <w:rPr>
          <w:color w:val="auto"/>
        </w:rPr>
        <w:t xml:space="preserve"> 通信地址：{{未填写}}</w:t>
      </w:r>
    </w:p>
    <w:p w14:paraId="0F44A343">
      <w:pPr>
        <w:pStyle w:val="26"/>
        <w:jc w:val="left"/>
        <w:rPr>
          <w:color w:val="auto"/>
        </w:rPr>
      </w:pPr>
      <w:r>
        <w:rPr>
          <w:color w:val="auto"/>
        </w:rPr>
        <w:t xml:space="preserve"> 邮政编码：{{未填写}}</w:t>
      </w:r>
    </w:p>
    <w:p w14:paraId="12A97787">
      <w:pPr>
        <w:pStyle w:val="26"/>
        <w:jc w:val="left"/>
        <w:rPr>
          <w:color w:val="auto"/>
        </w:rPr>
      </w:pPr>
      <w:r>
        <w:rPr>
          <w:color w:val="auto"/>
        </w:rPr>
        <w:t xml:space="preserve"> 电子邮箱：{{未填写}}</w:t>
      </w:r>
    </w:p>
    <w:p w14:paraId="558BA665">
      <w:pPr>
        <w:pStyle w:val="26"/>
        <w:jc w:val="left"/>
        <w:rPr>
          <w:color w:val="auto"/>
        </w:rPr>
      </w:pPr>
      <w:r>
        <w:rPr>
          <w:color w:val="auto"/>
        </w:rPr>
        <w:t xml:space="preserve"> 统一社会信用代码：{{未填写}}</w:t>
      </w:r>
    </w:p>
    <w:p w14:paraId="1E41DF28">
      <w:pPr>
        <w:pStyle w:val="26"/>
        <w:jc w:val="left"/>
        <w:rPr>
          <w:color w:val="auto"/>
        </w:rPr>
      </w:pPr>
      <w:r>
        <w:rPr>
          <w:color w:val="auto"/>
        </w:rPr>
        <w:t xml:space="preserve"> </w:t>
      </w:r>
    </w:p>
    <w:p w14:paraId="436D5A5D">
      <w:pPr>
        <w:pStyle w:val="26"/>
        <w:jc w:val="center"/>
        <w:outlineLvl w:val="1"/>
        <w:rPr>
          <w:color w:val="auto"/>
        </w:rPr>
      </w:pPr>
      <w:r>
        <w:rPr>
          <w:b/>
          <w:color w:val="auto"/>
          <w:sz w:val="36"/>
        </w:rPr>
        <w:t xml:space="preserve">第二节 </w:t>
      </w:r>
      <w:r>
        <w:rPr>
          <w:rFonts w:hint="eastAsia"/>
          <w:b/>
          <w:color w:val="auto"/>
          <w:sz w:val="36"/>
          <w:lang w:eastAsia="zh-CN"/>
        </w:rPr>
        <w:t>企业采购</w:t>
      </w:r>
      <w:r>
        <w:rPr>
          <w:b/>
          <w:color w:val="auto"/>
          <w:sz w:val="36"/>
        </w:rPr>
        <w:t>合同通用条款</w:t>
      </w:r>
    </w:p>
    <w:p w14:paraId="35186DBF">
      <w:pPr>
        <w:pStyle w:val="26"/>
        <w:jc w:val="left"/>
        <w:outlineLvl w:val="2"/>
        <w:rPr>
          <w:color w:val="auto"/>
        </w:rPr>
      </w:pPr>
      <w:r>
        <w:rPr>
          <w:b/>
          <w:color w:val="auto"/>
          <w:sz w:val="28"/>
        </w:rPr>
        <w:t>1. 定义</w:t>
      </w:r>
    </w:p>
    <w:p w14:paraId="757A8ACB">
      <w:pPr>
        <w:pStyle w:val="26"/>
        <w:jc w:val="left"/>
        <w:rPr>
          <w:color w:val="auto"/>
        </w:rPr>
      </w:pPr>
      <w:r>
        <w:rPr>
          <w:color w:val="auto"/>
        </w:rPr>
        <w:t>1.1合同当事人</w:t>
      </w:r>
    </w:p>
    <w:p w14:paraId="6B2A9395">
      <w:pPr>
        <w:pStyle w:val="26"/>
        <w:jc w:val="left"/>
        <w:rPr>
          <w:color w:val="auto"/>
        </w:rPr>
      </w:pPr>
      <w:r>
        <w:rPr>
          <w:color w:val="auto"/>
        </w:rPr>
        <w:t>（1）采购人（以下称甲方）是指使用财政性资金，通过</w:t>
      </w:r>
      <w:r>
        <w:rPr>
          <w:rFonts w:hint="eastAsia"/>
          <w:color w:val="auto"/>
          <w:lang w:eastAsia="zh-CN"/>
        </w:rPr>
        <w:t>企业采购</w:t>
      </w:r>
      <w:r>
        <w:rPr>
          <w:color w:val="auto"/>
        </w:rPr>
        <w:t>方式向供应商购买货物及其相关服务的国家机关、事业单位、团体组织。</w:t>
      </w:r>
    </w:p>
    <w:p w14:paraId="26C18C52">
      <w:pPr>
        <w:pStyle w:val="26"/>
        <w:jc w:val="left"/>
        <w:rPr>
          <w:color w:val="auto"/>
        </w:rPr>
      </w:pPr>
      <w:r>
        <w:rPr>
          <w:color w:val="auto"/>
        </w:rPr>
        <w:t>（2）供应商（以下称乙方）是指参加</w:t>
      </w:r>
      <w:r>
        <w:rPr>
          <w:rFonts w:hint="eastAsia"/>
          <w:color w:val="auto"/>
          <w:lang w:eastAsia="zh-CN"/>
        </w:rPr>
        <w:t>企业采购</w:t>
      </w:r>
      <w:r>
        <w:rPr>
          <w:color w:val="auto"/>
        </w:rPr>
        <w:t>活动并且中标（成交），向采购人提供合同约定的货物及其相关服务的法人、非法人组织或者自然人。</w:t>
      </w:r>
    </w:p>
    <w:p w14:paraId="5B89F198">
      <w:pPr>
        <w:pStyle w:val="26"/>
        <w:jc w:val="left"/>
        <w:rPr>
          <w:color w:val="auto"/>
        </w:rPr>
      </w:pPr>
      <w:r>
        <w:rPr>
          <w:color w:val="auto"/>
        </w:rPr>
        <w:t>（3）其他合同主体是指除采购人和供应商以外，依法参与合同缔结或履行，享有权利、承担义务的合同当事人。</w:t>
      </w:r>
    </w:p>
    <w:p w14:paraId="6961B3B9">
      <w:pPr>
        <w:pStyle w:val="26"/>
        <w:jc w:val="left"/>
        <w:rPr>
          <w:color w:val="auto"/>
        </w:rPr>
      </w:pPr>
      <w:r>
        <w:rPr>
          <w:color w:val="auto"/>
        </w:rPr>
        <w:t>1.2本合同下列术语应解释为：</w:t>
      </w:r>
    </w:p>
    <w:p w14:paraId="40B6CAD3">
      <w:pPr>
        <w:pStyle w:val="26"/>
        <w:jc w:val="left"/>
        <w:rPr>
          <w:color w:val="auto"/>
        </w:rPr>
      </w:pPr>
      <w:r>
        <w:rPr>
          <w:color w:val="auto"/>
        </w:rPr>
        <w:t>（1）“合同”系指合同当事人意思表示达成一致的任何协议，包括签署的</w:t>
      </w:r>
      <w:r>
        <w:rPr>
          <w:rFonts w:hint="eastAsia"/>
          <w:color w:val="auto"/>
          <w:lang w:eastAsia="zh-CN"/>
        </w:rPr>
        <w:t>企业采购</w:t>
      </w:r>
      <w:r>
        <w:rPr>
          <w:color w:val="auto"/>
        </w:rPr>
        <w:t>合同协议书及其变更、补充协议，</w:t>
      </w:r>
      <w:r>
        <w:rPr>
          <w:rFonts w:hint="eastAsia"/>
          <w:color w:val="auto"/>
          <w:lang w:eastAsia="zh-CN"/>
        </w:rPr>
        <w:t>企业采购</w:t>
      </w:r>
      <w:r>
        <w:rPr>
          <w:color w:val="auto"/>
        </w:rPr>
        <w:t>合同专用条款，</w:t>
      </w:r>
      <w:r>
        <w:rPr>
          <w:rFonts w:hint="eastAsia"/>
          <w:color w:val="auto"/>
          <w:lang w:eastAsia="zh-CN"/>
        </w:rPr>
        <w:t>企业采购</w:t>
      </w:r>
      <w:r>
        <w:rPr>
          <w:color w:val="auto"/>
        </w:rPr>
        <w:t>合同通用条款，中标（成交）通知书，投标（响应）文件，采购文件，有关技术文件和图纸，以及国家法律、行政法规和规章制度规定或合同约定的作为合同组成部分的其他文件。</w:t>
      </w:r>
    </w:p>
    <w:p w14:paraId="551B4F03">
      <w:pPr>
        <w:pStyle w:val="26"/>
        <w:jc w:val="left"/>
        <w:rPr>
          <w:color w:val="auto"/>
        </w:rPr>
      </w:pPr>
      <w:r>
        <w:rPr>
          <w:color w:val="auto"/>
        </w:rPr>
        <w:t>（2）“合同价款”系指根据本合同规定乙方在全面履行合同义务后甲方应支付给乙方的价款。</w:t>
      </w:r>
    </w:p>
    <w:p w14:paraId="56DB4315">
      <w:pPr>
        <w:pStyle w:val="26"/>
        <w:jc w:val="left"/>
        <w:rPr>
          <w:color w:val="auto"/>
        </w:rPr>
      </w:pPr>
      <w:r>
        <w:rPr>
          <w:color w:val="auto"/>
        </w:rPr>
        <w:t>（3）“货物”系指乙方根据本合同规定须向甲方提供的各种形态和种类的物品，包括原材料、设备、产品（包括软件）及相关的其备品备件、工具、手册及其他技术资料和材料等。</w:t>
      </w:r>
    </w:p>
    <w:p w14:paraId="3C14BDD2">
      <w:pPr>
        <w:pStyle w:val="26"/>
        <w:jc w:val="left"/>
        <w:rPr>
          <w:color w:val="auto"/>
        </w:rPr>
      </w:pPr>
      <w:r>
        <w:rPr>
          <w:color w:val="auto"/>
        </w:rPr>
        <w:t>（4）“相关服务”系指根据合同规定，乙方应提供的与货物有关的技术、管理和其他服务，包括但不限于：管理和质量保证、运输、保险、检验、现场准备、安装、集成、调试、培训、维修、废弃处置、技术支持等以及合同中规定乙方应承担的其他义务。</w:t>
      </w:r>
    </w:p>
    <w:p w14:paraId="42A97A85">
      <w:pPr>
        <w:pStyle w:val="26"/>
        <w:jc w:val="left"/>
        <w:rPr>
          <w:color w:val="auto"/>
        </w:rPr>
      </w:pPr>
      <w:r>
        <w:rPr>
          <w:color w:val="auto"/>
        </w:rPr>
        <w:t>（5）“分包”系指中标（成交）供应商按采购文件、投标（响应）文件的规定，根据分包意向协议，将中标（成交）项目中的部分履约内容，分给具有相应资质条件的供应商履行合同的行为。</w:t>
      </w:r>
    </w:p>
    <w:p w14:paraId="620C8432">
      <w:pPr>
        <w:pStyle w:val="26"/>
        <w:jc w:val="left"/>
        <w:rPr>
          <w:color w:val="auto"/>
        </w:rPr>
      </w:pPr>
      <w:r>
        <w:rPr>
          <w:color w:val="auto"/>
        </w:rPr>
        <w:t>（6）“联合体”系指由两个以上的自然人、法人或者非法人组织组成，以一个供应商的身份共同参加</w:t>
      </w:r>
      <w:r>
        <w:rPr>
          <w:rFonts w:hint="eastAsia"/>
          <w:color w:val="auto"/>
          <w:lang w:eastAsia="zh-CN"/>
        </w:rPr>
        <w:t>企业采购</w:t>
      </w:r>
      <w:r>
        <w:rPr>
          <w:color w:val="auto"/>
        </w:rPr>
        <w:t>的主体。联合体各方应在签订合同协议书前向甲方提交联合协议，且明确牵头人及各成员单位的工作分工、权利、义务、责任，联合体各方应共同与甲方签订合同，就合同约定的事项对甲方承担连带责任。联合体具体要求见</w:t>
      </w:r>
      <w:r>
        <w:rPr>
          <w:b/>
          <w:color w:val="auto"/>
        </w:rPr>
        <w:t>【</w:t>
      </w:r>
      <w:r>
        <w:rPr>
          <w:rFonts w:hint="eastAsia"/>
          <w:b/>
          <w:color w:val="auto"/>
          <w:lang w:eastAsia="zh-CN"/>
        </w:rPr>
        <w:t>企业采购</w:t>
      </w:r>
      <w:r>
        <w:rPr>
          <w:b/>
          <w:color w:val="auto"/>
        </w:rPr>
        <w:t>合同专用条款】</w:t>
      </w:r>
      <w:r>
        <w:rPr>
          <w:color w:val="auto"/>
        </w:rPr>
        <w:t>。</w:t>
      </w:r>
    </w:p>
    <w:p w14:paraId="19A21DC6">
      <w:pPr>
        <w:pStyle w:val="26"/>
        <w:jc w:val="left"/>
        <w:rPr>
          <w:color w:val="auto"/>
        </w:rPr>
      </w:pPr>
      <w:r>
        <w:rPr>
          <w:color w:val="auto"/>
        </w:rPr>
        <w:t>（7）其他术语解释，见</w:t>
      </w:r>
      <w:r>
        <w:rPr>
          <w:b/>
          <w:color w:val="auto"/>
        </w:rPr>
        <w:t>【</w:t>
      </w:r>
      <w:r>
        <w:rPr>
          <w:rFonts w:hint="eastAsia"/>
          <w:b/>
          <w:color w:val="auto"/>
          <w:lang w:eastAsia="zh-CN"/>
        </w:rPr>
        <w:t>企业采购</w:t>
      </w:r>
      <w:r>
        <w:rPr>
          <w:b/>
          <w:color w:val="auto"/>
        </w:rPr>
        <w:t>合同专用条款】</w:t>
      </w:r>
      <w:r>
        <w:rPr>
          <w:color w:val="auto"/>
        </w:rPr>
        <w:t>。</w:t>
      </w:r>
    </w:p>
    <w:p w14:paraId="6E31E222">
      <w:pPr>
        <w:pStyle w:val="26"/>
        <w:jc w:val="left"/>
        <w:outlineLvl w:val="2"/>
        <w:rPr>
          <w:color w:val="auto"/>
        </w:rPr>
      </w:pPr>
      <w:r>
        <w:rPr>
          <w:b/>
          <w:color w:val="auto"/>
          <w:sz w:val="28"/>
        </w:rPr>
        <w:t>2.合同标的及金额</w:t>
      </w:r>
    </w:p>
    <w:p w14:paraId="070891B6">
      <w:pPr>
        <w:pStyle w:val="26"/>
        <w:jc w:val="left"/>
        <w:rPr>
          <w:color w:val="auto"/>
        </w:rPr>
      </w:pPr>
      <w:r>
        <w:rPr>
          <w:color w:val="auto"/>
        </w:rPr>
        <w:t>2.1 合同标的及金额应与中标（成交）结果一致。乙方为履行本合同而发生的所有费用均应包含在合同价款中，甲方不再另行支付其他任何费用。</w:t>
      </w:r>
    </w:p>
    <w:p w14:paraId="3336F9AB">
      <w:pPr>
        <w:pStyle w:val="26"/>
        <w:jc w:val="left"/>
        <w:outlineLvl w:val="2"/>
        <w:rPr>
          <w:color w:val="auto"/>
        </w:rPr>
      </w:pPr>
      <w:r>
        <w:rPr>
          <w:b/>
          <w:color w:val="auto"/>
          <w:sz w:val="28"/>
        </w:rPr>
        <w:t>3. 履行合同的时间、地点和方式</w:t>
      </w:r>
    </w:p>
    <w:p w14:paraId="1F8E58A0">
      <w:pPr>
        <w:pStyle w:val="26"/>
        <w:jc w:val="left"/>
        <w:rPr>
          <w:color w:val="auto"/>
        </w:rPr>
      </w:pPr>
      <w:r>
        <w:rPr>
          <w:color w:val="auto"/>
        </w:rPr>
        <w:t>3.1 乙方应当在约定的时间、地点，按照约定方式履行合同。</w:t>
      </w:r>
    </w:p>
    <w:p w14:paraId="082371F3">
      <w:pPr>
        <w:pStyle w:val="26"/>
        <w:jc w:val="left"/>
        <w:outlineLvl w:val="2"/>
        <w:rPr>
          <w:color w:val="auto"/>
        </w:rPr>
      </w:pPr>
      <w:r>
        <w:rPr>
          <w:b/>
          <w:color w:val="auto"/>
          <w:sz w:val="28"/>
        </w:rPr>
        <w:t>4. 甲方的权利和义务</w:t>
      </w:r>
    </w:p>
    <w:p w14:paraId="77015C80">
      <w:pPr>
        <w:pStyle w:val="26"/>
        <w:jc w:val="left"/>
        <w:rPr>
          <w:color w:val="auto"/>
        </w:rPr>
      </w:pPr>
      <w:r>
        <w:rPr>
          <w:color w:val="auto"/>
        </w:rPr>
        <w:t>4.1 签署合同后，甲方应确定项目负责人（或项目联系人），负责与本合同有关的事务。甲方有权对乙方的履约行为进行检查，并及时确认乙方提交的事项。甲方应当配合乙方完成相关项目实施工作。</w:t>
      </w:r>
    </w:p>
    <w:p w14:paraId="4DA236CD">
      <w:pPr>
        <w:pStyle w:val="26"/>
        <w:jc w:val="left"/>
        <w:rPr>
          <w:color w:val="auto"/>
        </w:rPr>
      </w:pPr>
      <w:r>
        <w:rPr>
          <w:color w:val="auto"/>
        </w:rPr>
        <w:t>4.2 甲方有权要求乙方按时提交各阶段有关安排计划，并有权定期核对乙方提供货物数量、规格、质量等内容。甲方有权督促乙方工作并要求乙方更换不符合要求的货物。</w:t>
      </w:r>
    </w:p>
    <w:p w14:paraId="2B538924">
      <w:pPr>
        <w:pStyle w:val="26"/>
        <w:jc w:val="left"/>
        <w:rPr>
          <w:color w:val="auto"/>
        </w:rPr>
      </w:pPr>
      <w:r>
        <w:rPr>
          <w:color w:val="auto"/>
        </w:rPr>
        <w:t>4.3 甲方有权要求乙方对缺陷部分予以修复，并按合同约定享有货物保修及其他合同约定的权利。</w:t>
      </w:r>
    </w:p>
    <w:p w14:paraId="3A5FB17E">
      <w:pPr>
        <w:pStyle w:val="26"/>
        <w:jc w:val="left"/>
        <w:rPr>
          <w:color w:val="auto"/>
        </w:rPr>
      </w:pPr>
      <w:r>
        <w:rPr>
          <w:color w:val="auto"/>
        </w:rPr>
        <w:t>4.4 甲方应当按照合同约定及时对交付的货物进行验收，未在</w:t>
      </w:r>
      <w:r>
        <w:rPr>
          <w:b/>
          <w:color w:val="auto"/>
        </w:rPr>
        <w:t>【</w:t>
      </w:r>
      <w:r>
        <w:rPr>
          <w:rFonts w:hint="eastAsia"/>
          <w:b/>
          <w:color w:val="auto"/>
          <w:lang w:eastAsia="zh-CN"/>
        </w:rPr>
        <w:t>企业采购</w:t>
      </w:r>
      <w:r>
        <w:rPr>
          <w:b/>
          <w:color w:val="auto"/>
        </w:rPr>
        <w:t>合同专用条款】</w:t>
      </w:r>
      <w:r>
        <w:rPr>
          <w:color w:val="auto"/>
        </w:rPr>
        <w:t>约定的期限内对乙方履约提出任何异议或者向乙方作出任何说明的，视为验收通过。</w:t>
      </w:r>
    </w:p>
    <w:p w14:paraId="74E9ECAB">
      <w:pPr>
        <w:pStyle w:val="26"/>
        <w:jc w:val="left"/>
        <w:rPr>
          <w:color w:val="auto"/>
        </w:rPr>
      </w:pPr>
      <w:r>
        <w:rPr>
          <w:color w:val="auto"/>
        </w:rPr>
        <w:t>4.5 甲方应当根据合同约定及时向乙方支付合同价款，不得以内部人员变更、履行内部付款流程等为由，拒绝或迟延支付。</w:t>
      </w:r>
    </w:p>
    <w:p w14:paraId="7ACEA419">
      <w:pPr>
        <w:pStyle w:val="26"/>
        <w:jc w:val="left"/>
        <w:rPr>
          <w:color w:val="auto"/>
        </w:rPr>
      </w:pPr>
      <w:r>
        <w:rPr>
          <w:color w:val="auto"/>
        </w:rPr>
        <w:t>4.6 国家法律法规规定及</w:t>
      </w:r>
      <w:r>
        <w:rPr>
          <w:b/>
          <w:color w:val="auto"/>
        </w:rPr>
        <w:t>【</w:t>
      </w:r>
      <w:r>
        <w:rPr>
          <w:rFonts w:hint="eastAsia"/>
          <w:b/>
          <w:color w:val="auto"/>
          <w:lang w:eastAsia="zh-CN"/>
        </w:rPr>
        <w:t>企业采购</w:t>
      </w:r>
      <w:r>
        <w:rPr>
          <w:b/>
          <w:color w:val="auto"/>
        </w:rPr>
        <w:t>合同专用条款】</w:t>
      </w:r>
      <w:r>
        <w:rPr>
          <w:color w:val="auto"/>
        </w:rPr>
        <w:t>约定应由甲方承担的其他义务和责任。</w:t>
      </w:r>
    </w:p>
    <w:p w14:paraId="7A0DFE8A">
      <w:pPr>
        <w:pStyle w:val="26"/>
        <w:jc w:val="left"/>
        <w:outlineLvl w:val="2"/>
        <w:rPr>
          <w:color w:val="auto"/>
        </w:rPr>
      </w:pPr>
      <w:r>
        <w:rPr>
          <w:b/>
          <w:color w:val="auto"/>
          <w:sz w:val="28"/>
        </w:rPr>
        <w:t>5. 乙方的权利和义务</w:t>
      </w:r>
    </w:p>
    <w:p w14:paraId="501901F4">
      <w:pPr>
        <w:pStyle w:val="26"/>
        <w:jc w:val="left"/>
        <w:rPr>
          <w:color w:val="auto"/>
        </w:rPr>
      </w:pPr>
      <w:r>
        <w:rPr>
          <w:color w:val="auto"/>
        </w:rPr>
        <w:t>5.1 签署合同后，乙方应确定项目负责人（或项目联系人），负责与本合同有关的事务。</w:t>
      </w:r>
    </w:p>
    <w:p w14:paraId="29450D12">
      <w:pPr>
        <w:pStyle w:val="26"/>
        <w:jc w:val="left"/>
        <w:rPr>
          <w:color w:val="auto"/>
        </w:rPr>
      </w:pPr>
      <w:r>
        <w:rPr>
          <w:color w:val="auto"/>
        </w:rPr>
        <w:t>5.2 乙方应按照合同要求履约，充分合理安排，确保提供的货物及相关服务符合合同有关要求。接受项目行业管理部门及政府有关部门的指导，配合甲方的履约检查及验收，并负责项目实施过程中的所有协调工作。</w:t>
      </w:r>
    </w:p>
    <w:p w14:paraId="7034C4AA">
      <w:pPr>
        <w:pStyle w:val="26"/>
        <w:jc w:val="left"/>
        <w:rPr>
          <w:color w:val="auto"/>
        </w:rPr>
      </w:pPr>
      <w:r>
        <w:rPr>
          <w:color w:val="auto"/>
        </w:rPr>
        <w:t>5.3乙方有权根据合同约定向甲方收取合同价款。</w:t>
      </w:r>
    </w:p>
    <w:p w14:paraId="25F179CC">
      <w:pPr>
        <w:pStyle w:val="26"/>
        <w:jc w:val="left"/>
        <w:rPr>
          <w:color w:val="auto"/>
        </w:rPr>
      </w:pPr>
      <w:r>
        <w:rPr>
          <w:color w:val="auto"/>
        </w:rPr>
        <w:t>5.4国家法律法规规定及</w:t>
      </w:r>
      <w:r>
        <w:rPr>
          <w:b/>
          <w:color w:val="auto"/>
        </w:rPr>
        <w:t>【</w:t>
      </w:r>
      <w:r>
        <w:rPr>
          <w:rFonts w:hint="eastAsia"/>
          <w:b/>
          <w:color w:val="auto"/>
          <w:lang w:eastAsia="zh-CN"/>
        </w:rPr>
        <w:t>企业采购</w:t>
      </w:r>
      <w:r>
        <w:rPr>
          <w:b/>
          <w:color w:val="auto"/>
        </w:rPr>
        <w:t>合同专用条款】</w:t>
      </w:r>
      <w:r>
        <w:rPr>
          <w:color w:val="auto"/>
        </w:rPr>
        <w:t>约定应由乙方承担的其他义务和责任。</w:t>
      </w:r>
    </w:p>
    <w:p w14:paraId="53553DC9">
      <w:pPr>
        <w:pStyle w:val="26"/>
        <w:jc w:val="left"/>
        <w:outlineLvl w:val="2"/>
        <w:rPr>
          <w:color w:val="auto"/>
        </w:rPr>
      </w:pPr>
      <w:r>
        <w:rPr>
          <w:b/>
          <w:color w:val="auto"/>
          <w:sz w:val="28"/>
        </w:rPr>
        <w:t>6.合同履行</w:t>
      </w:r>
    </w:p>
    <w:p w14:paraId="5679C1CF">
      <w:pPr>
        <w:pStyle w:val="26"/>
        <w:jc w:val="left"/>
        <w:rPr>
          <w:color w:val="auto"/>
        </w:rPr>
      </w:pPr>
      <w:r>
        <w:rPr>
          <w:color w:val="auto"/>
        </w:rPr>
        <w:t>6.1 甲乙双方应当按照</w:t>
      </w:r>
      <w:r>
        <w:rPr>
          <w:b/>
          <w:color w:val="auto"/>
        </w:rPr>
        <w:t>【</w:t>
      </w:r>
      <w:r>
        <w:rPr>
          <w:rFonts w:hint="eastAsia"/>
          <w:b/>
          <w:color w:val="auto"/>
          <w:lang w:eastAsia="zh-CN"/>
        </w:rPr>
        <w:t>企业采购</w:t>
      </w:r>
      <w:r>
        <w:rPr>
          <w:b/>
          <w:color w:val="auto"/>
        </w:rPr>
        <w:t>合同专用条款】</w:t>
      </w:r>
      <w:r>
        <w:rPr>
          <w:color w:val="auto"/>
        </w:rPr>
        <w:t>约定顺序履行合同义务；如果没有先后顺序的，应当同时履行。</w:t>
      </w:r>
    </w:p>
    <w:p w14:paraId="2D9576B8">
      <w:pPr>
        <w:pStyle w:val="26"/>
        <w:jc w:val="left"/>
        <w:rPr>
          <w:color w:val="auto"/>
        </w:rPr>
      </w:pPr>
      <w:r>
        <w:rPr>
          <w:color w:val="auto"/>
        </w:rPr>
        <w:t>6.2 甲乙双方按照合同约定顺序履行合同义务时，应当先履行一方未履行的，后履行一方有权拒绝其履行请求。先履行一方履行不符合约定的，后履行一方有权拒绝其相应的履行请求。</w:t>
      </w:r>
    </w:p>
    <w:p w14:paraId="0755C5F7">
      <w:pPr>
        <w:pStyle w:val="26"/>
        <w:jc w:val="left"/>
        <w:outlineLvl w:val="2"/>
        <w:rPr>
          <w:color w:val="auto"/>
        </w:rPr>
      </w:pPr>
      <w:r>
        <w:rPr>
          <w:b/>
          <w:color w:val="auto"/>
          <w:sz w:val="28"/>
        </w:rPr>
        <w:t>7. 货物包装、运输、保险和交付要求</w:t>
      </w:r>
    </w:p>
    <w:p w14:paraId="54DBC179">
      <w:pPr>
        <w:pStyle w:val="26"/>
        <w:jc w:val="left"/>
        <w:rPr>
          <w:color w:val="auto"/>
        </w:rPr>
      </w:pPr>
      <w:r>
        <w:rPr>
          <w:color w:val="auto"/>
        </w:rPr>
        <w:t>7.1 本合同涉及商品包装、快递包装的，除</w:t>
      </w:r>
      <w:r>
        <w:rPr>
          <w:b/>
          <w:color w:val="auto"/>
        </w:rPr>
        <w:t>【</w:t>
      </w:r>
      <w:r>
        <w:rPr>
          <w:rFonts w:hint="eastAsia"/>
          <w:b/>
          <w:color w:val="auto"/>
          <w:lang w:eastAsia="zh-CN"/>
        </w:rPr>
        <w:t>企业采购</w:t>
      </w:r>
      <w:r>
        <w:rPr>
          <w:b/>
          <w:color w:val="auto"/>
        </w:rPr>
        <w:t>合同专用条款】</w:t>
      </w:r>
      <w:r>
        <w:rPr>
          <w:color w:val="auto"/>
        </w:rPr>
        <w:t>另有约定外，包装应适应远距离运输、防潮、防震、防锈和防野蛮装卸等要求，确保货物安全无损地运抵</w:t>
      </w:r>
      <w:r>
        <w:rPr>
          <w:b/>
          <w:color w:val="auto"/>
        </w:rPr>
        <w:t>【</w:t>
      </w:r>
      <w:r>
        <w:rPr>
          <w:rFonts w:hint="eastAsia"/>
          <w:b/>
          <w:color w:val="auto"/>
          <w:lang w:eastAsia="zh-CN"/>
        </w:rPr>
        <w:t>企业采购</w:t>
      </w:r>
      <w:r>
        <w:rPr>
          <w:b/>
          <w:color w:val="auto"/>
        </w:rPr>
        <w:t>合同专用条款】</w:t>
      </w:r>
      <w:r>
        <w:rPr>
          <w:color w:val="auto"/>
        </w:rPr>
        <w:t>约定的指定现场。</w:t>
      </w:r>
    </w:p>
    <w:p w14:paraId="5E873F51">
      <w:pPr>
        <w:pStyle w:val="26"/>
        <w:jc w:val="left"/>
        <w:rPr>
          <w:color w:val="auto"/>
        </w:rPr>
      </w:pPr>
      <w:r>
        <w:rPr>
          <w:color w:val="auto"/>
        </w:rPr>
        <w:t>7.2 除</w:t>
      </w:r>
      <w:r>
        <w:rPr>
          <w:b/>
          <w:color w:val="auto"/>
        </w:rPr>
        <w:t>【</w:t>
      </w:r>
      <w:r>
        <w:rPr>
          <w:rFonts w:hint="eastAsia"/>
          <w:b/>
          <w:color w:val="auto"/>
          <w:lang w:eastAsia="zh-CN"/>
        </w:rPr>
        <w:t>企业采购</w:t>
      </w:r>
      <w:r>
        <w:rPr>
          <w:b/>
          <w:color w:val="auto"/>
        </w:rPr>
        <w:t>合同专用条款】</w:t>
      </w:r>
      <w:r>
        <w:rPr>
          <w:color w:val="auto"/>
        </w:rPr>
        <w:t>另有约定外，乙方负责办理将货物运抵本合同规定的交货地点，并装卸、交付至甲方的一切运输事项，相关费用应包含在合同价款中。</w:t>
      </w:r>
    </w:p>
    <w:p w14:paraId="2BD872F3">
      <w:pPr>
        <w:pStyle w:val="26"/>
        <w:jc w:val="left"/>
        <w:rPr>
          <w:color w:val="auto"/>
        </w:rPr>
      </w:pPr>
      <w:r>
        <w:rPr>
          <w:color w:val="auto"/>
        </w:rPr>
        <w:t>7.3 货物保险要求按</w:t>
      </w:r>
      <w:r>
        <w:rPr>
          <w:b/>
          <w:color w:val="auto"/>
        </w:rPr>
        <w:t>【</w:t>
      </w:r>
      <w:r>
        <w:rPr>
          <w:rFonts w:hint="eastAsia"/>
          <w:b/>
          <w:color w:val="auto"/>
          <w:lang w:eastAsia="zh-CN"/>
        </w:rPr>
        <w:t>企业采购</w:t>
      </w:r>
      <w:r>
        <w:rPr>
          <w:b/>
          <w:color w:val="auto"/>
        </w:rPr>
        <w:t>合同专用条款】</w:t>
      </w:r>
      <w:r>
        <w:rPr>
          <w:color w:val="auto"/>
        </w:rPr>
        <w:t>规定执行。</w:t>
      </w:r>
    </w:p>
    <w:p w14:paraId="4A19EE11">
      <w:pPr>
        <w:pStyle w:val="26"/>
        <w:jc w:val="left"/>
        <w:rPr>
          <w:color w:val="auto"/>
        </w:rPr>
      </w:pPr>
      <w:r>
        <w:rPr>
          <w:color w:val="auto"/>
        </w:rPr>
        <w:t>7.4 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14:paraId="4DFDF2C0">
      <w:pPr>
        <w:pStyle w:val="26"/>
        <w:jc w:val="left"/>
        <w:rPr>
          <w:color w:val="auto"/>
        </w:rPr>
      </w:pPr>
      <w:r>
        <w:rPr>
          <w:color w:val="auto"/>
        </w:rPr>
        <w:t>7.5 乙方在运输到达之前应提前通知甲方，并提示货物运输装卸的注意事项，甲方配合乙方做好货物的接收工作。</w:t>
      </w:r>
    </w:p>
    <w:p w14:paraId="33A265BE">
      <w:pPr>
        <w:pStyle w:val="26"/>
        <w:jc w:val="left"/>
        <w:rPr>
          <w:color w:val="auto"/>
        </w:rPr>
      </w:pPr>
      <w:r>
        <w:rPr>
          <w:color w:val="auto"/>
        </w:rPr>
        <w:t>7.6 如因包装、运输问题导致货物损毁、丢失或者品质下降，甲方有权要求降价、换货、拒收部分或整批货物，由此产生的费用和损失，均由乙方承担。</w:t>
      </w:r>
    </w:p>
    <w:p w14:paraId="315699FA">
      <w:pPr>
        <w:pStyle w:val="26"/>
        <w:jc w:val="left"/>
        <w:outlineLvl w:val="2"/>
        <w:rPr>
          <w:color w:val="auto"/>
        </w:rPr>
      </w:pPr>
      <w:r>
        <w:rPr>
          <w:b/>
          <w:color w:val="auto"/>
          <w:sz w:val="28"/>
        </w:rPr>
        <w:t>8. 质量标准和保证</w:t>
      </w:r>
    </w:p>
    <w:p w14:paraId="7D3EDF44">
      <w:pPr>
        <w:pStyle w:val="26"/>
        <w:jc w:val="left"/>
        <w:rPr>
          <w:color w:val="auto"/>
        </w:rPr>
      </w:pPr>
      <w:r>
        <w:rPr>
          <w:color w:val="auto"/>
        </w:rPr>
        <w:t>8.1 质量标准</w:t>
      </w:r>
    </w:p>
    <w:p w14:paraId="5D64E973">
      <w:pPr>
        <w:pStyle w:val="26"/>
        <w:jc w:val="left"/>
        <w:rPr>
          <w:color w:val="auto"/>
        </w:rPr>
      </w:pPr>
      <w:r>
        <w:rPr>
          <w:color w:val="auto"/>
        </w:rPr>
        <w:t>（1）本合同下提供的货物应符合合同约定的品牌、规格型号、技术性能、配置、质量、数量等要求。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14:paraId="4CFC42AF">
      <w:pPr>
        <w:pStyle w:val="26"/>
        <w:jc w:val="left"/>
        <w:rPr>
          <w:color w:val="auto"/>
        </w:rPr>
      </w:pPr>
      <w:r>
        <w:rPr>
          <w:color w:val="auto"/>
        </w:rPr>
        <w:t>（2）采用中华人民共和国法定计量单位。</w:t>
      </w:r>
    </w:p>
    <w:p w14:paraId="7701F71B">
      <w:pPr>
        <w:pStyle w:val="26"/>
        <w:jc w:val="left"/>
        <w:rPr>
          <w:color w:val="auto"/>
        </w:rPr>
      </w:pPr>
      <w:r>
        <w:rPr>
          <w:color w:val="auto"/>
        </w:rPr>
        <w:t>（3）乙方所提供的货物应符合国家有关安全、环保、卫生的规定。</w:t>
      </w:r>
    </w:p>
    <w:p w14:paraId="2B2AACB0">
      <w:pPr>
        <w:pStyle w:val="26"/>
        <w:jc w:val="left"/>
        <w:rPr>
          <w:color w:val="auto"/>
        </w:rPr>
      </w:pPr>
      <w:r>
        <w:rPr>
          <w:color w:val="auto"/>
        </w:rPr>
        <w:t>（4）乙方应向甲方提交所提供货物的技术文件，包括相应的中文技术文件，如：产品目录、图纸、操作手册、使用说明、维护手册或服务指南等。上述文件应包装好随货物一同发运。</w:t>
      </w:r>
    </w:p>
    <w:p w14:paraId="06994C0D">
      <w:pPr>
        <w:pStyle w:val="26"/>
        <w:jc w:val="left"/>
        <w:rPr>
          <w:color w:val="auto"/>
        </w:rPr>
      </w:pPr>
      <w:r>
        <w:rPr>
          <w:color w:val="auto"/>
        </w:rPr>
        <w:t>8.2 保证</w:t>
      </w:r>
    </w:p>
    <w:p w14:paraId="31DEE2E4">
      <w:pPr>
        <w:pStyle w:val="26"/>
        <w:jc w:val="left"/>
        <w:rPr>
          <w:color w:val="auto"/>
        </w:rPr>
      </w:pPr>
      <w:r>
        <w:rPr>
          <w:color w:val="auto"/>
        </w:rPr>
        <w:t>（1）乙方应保证提供的货物完全符合合同规定的质量、规格和性能要求。乙方应保证货物在正确安装、正常使用和保养条件下，在其使用寿命期内具备合同约定的性能。存在质量保证期的，货物最终交付验收合格后在【</w:t>
      </w:r>
      <w:r>
        <w:rPr>
          <w:rFonts w:hint="eastAsia"/>
          <w:color w:val="auto"/>
          <w:lang w:eastAsia="zh-CN"/>
        </w:rPr>
        <w:t>企业采购</w:t>
      </w:r>
      <w:r>
        <w:rPr>
          <w:color w:val="auto"/>
        </w:rPr>
        <w:t>合同专用条款】规定或乙方书面承诺（两者以较长的为准）的质量保证期内，本保证保持有效。</w:t>
      </w:r>
    </w:p>
    <w:p w14:paraId="05B9E360">
      <w:pPr>
        <w:pStyle w:val="26"/>
        <w:jc w:val="left"/>
        <w:rPr>
          <w:color w:val="auto"/>
        </w:rPr>
      </w:pPr>
      <w:r>
        <w:rPr>
          <w:color w:val="auto"/>
        </w:rPr>
        <w:t>（2）在质量保证期内所发现的缺陷，甲方应尽快以书面形式通知乙方。</w:t>
      </w:r>
    </w:p>
    <w:p w14:paraId="02AEF793">
      <w:pPr>
        <w:pStyle w:val="26"/>
        <w:jc w:val="left"/>
        <w:rPr>
          <w:color w:val="auto"/>
        </w:rPr>
      </w:pPr>
      <w:r>
        <w:rPr>
          <w:color w:val="auto"/>
        </w:rPr>
        <w:t>（3）乙方收到通知后，应在【</w:t>
      </w:r>
      <w:r>
        <w:rPr>
          <w:rFonts w:hint="eastAsia"/>
          <w:color w:val="auto"/>
          <w:lang w:eastAsia="zh-CN"/>
        </w:rPr>
        <w:t>企业采购</w:t>
      </w:r>
      <w:r>
        <w:rPr>
          <w:color w:val="auto"/>
        </w:rPr>
        <w:t>合同专用条款】规定的响应时间内以合理的速度免费维修或更换有缺陷的货物或部件。</w:t>
      </w:r>
    </w:p>
    <w:p w14:paraId="24BF7498">
      <w:pPr>
        <w:pStyle w:val="26"/>
        <w:jc w:val="left"/>
        <w:rPr>
          <w:color w:val="auto"/>
        </w:rPr>
      </w:pPr>
      <w:r>
        <w:rPr>
          <w:color w:val="auto"/>
        </w:rPr>
        <w:t>（4）在质量保证期内，如果货物的质量或规格与合同不符，或证实货物是有缺陷的，包括潜在的缺陷或使用不符合要求的材料等，甲方可以根据本合同第15.1条规定以书面形式追究乙方的违约责任。</w:t>
      </w:r>
    </w:p>
    <w:p w14:paraId="373C367B">
      <w:pPr>
        <w:pStyle w:val="26"/>
        <w:jc w:val="left"/>
        <w:rPr>
          <w:color w:val="auto"/>
        </w:rPr>
      </w:pPr>
      <w:r>
        <w:rPr>
          <w:color w:val="auto"/>
        </w:rPr>
        <w:t>（5）乙方在约定的时间内未能弥补缺陷，甲方可采取必要的补救措施，但其风险和费用将由乙方承担，甲方根据合同约定对乙方行使的其他权利不受影响。</w:t>
      </w:r>
    </w:p>
    <w:p w14:paraId="089DADA3">
      <w:pPr>
        <w:pStyle w:val="26"/>
        <w:jc w:val="left"/>
        <w:outlineLvl w:val="2"/>
        <w:rPr>
          <w:color w:val="auto"/>
        </w:rPr>
      </w:pPr>
      <w:r>
        <w:rPr>
          <w:b/>
          <w:color w:val="auto"/>
          <w:sz w:val="28"/>
        </w:rPr>
        <w:t>9. 权利瑕疵担保</w:t>
      </w:r>
    </w:p>
    <w:p w14:paraId="617B0E8E">
      <w:pPr>
        <w:pStyle w:val="26"/>
        <w:jc w:val="left"/>
        <w:rPr>
          <w:color w:val="auto"/>
        </w:rPr>
      </w:pPr>
      <w:r>
        <w:rPr>
          <w:color w:val="auto"/>
        </w:rPr>
        <w:t>9.1 乙方保证对其出售的货物享有合法的权利。</w:t>
      </w:r>
    </w:p>
    <w:p w14:paraId="422AC4E3">
      <w:pPr>
        <w:pStyle w:val="26"/>
        <w:jc w:val="left"/>
        <w:rPr>
          <w:color w:val="auto"/>
        </w:rPr>
      </w:pPr>
      <w:r>
        <w:rPr>
          <w:color w:val="auto"/>
        </w:rPr>
        <w:t>9.2 乙方保证在交付的货物上不存在抵押权等担保物权。</w:t>
      </w:r>
    </w:p>
    <w:p w14:paraId="2B273FA1">
      <w:pPr>
        <w:pStyle w:val="26"/>
        <w:jc w:val="left"/>
        <w:rPr>
          <w:color w:val="auto"/>
        </w:rPr>
      </w:pPr>
      <w:r>
        <w:rPr>
          <w:color w:val="auto"/>
        </w:rPr>
        <w:t>9.3 如甲方使用上述货物构成对第三人侵权的，则由乙方承担全部责任。</w:t>
      </w:r>
    </w:p>
    <w:p w14:paraId="4A1E7281">
      <w:pPr>
        <w:pStyle w:val="26"/>
        <w:jc w:val="left"/>
        <w:outlineLvl w:val="2"/>
        <w:rPr>
          <w:color w:val="auto"/>
        </w:rPr>
      </w:pPr>
      <w:r>
        <w:rPr>
          <w:b/>
          <w:color w:val="auto"/>
          <w:sz w:val="28"/>
        </w:rPr>
        <w:t>10. 知识产权保护</w:t>
      </w:r>
    </w:p>
    <w:p w14:paraId="0E9E42E8">
      <w:pPr>
        <w:pStyle w:val="26"/>
        <w:jc w:val="left"/>
        <w:rPr>
          <w:color w:val="auto"/>
        </w:rPr>
      </w:pPr>
      <w:r>
        <w:rPr>
          <w:color w:val="auto"/>
        </w:rPr>
        <w:t>10.1 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w:t>
      </w:r>
    </w:p>
    <w:p w14:paraId="280DAC15">
      <w:pPr>
        <w:pStyle w:val="26"/>
        <w:jc w:val="left"/>
        <w:outlineLvl w:val="2"/>
        <w:rPr>
          <w:color w:val="auto"/>
        </w:rPr>
      </w:pPr>
      <w:r>
        <w:rPr>
          <w:b/>
          <w:color w:val="auto"/>
          <w:sz w:val="28"/>
        </w:rPr>
        <w:t>11. 保密义务</w:t>
      </w:r>
    </w:p>
    <w:p w14:paraId="0E425F03">
      <w:pPr>
        <w:pStyle w:val="26"/>
        <w:jc w:val="left"/>
        <w:rPr>
          <w:color w:val="auto"/>
        </w:rPr>
      </w:pPr>
      <w:r>
        <w:rPr>
          <w:color w:val="auto"/>
        </w:rPr>
        <w:t>11.1 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由双方在</w:t>
      </w:r>
      <w:r>
        <w:rPr>
          <w:b/>
          <w:color w:val="auto"/>
        </w:rPr>
        <w:t>【</w:t>
      </w:r>
      <w:r>
        <w:rPr>
          <w:rFonts w:hint="eastAsia"/>
          <w:b/>
          <w:color w:val="auto"/>
          <w:lang w:eastAsia="zh-CN"/>
        </w:rPr>
        <w:t>企业采购</w:t>
      </w:r>
      <w:r>
        <w:rPr>
          <w:b/>
          <w:color w:val="auto"/>
        </w:rPr>
        <w:t>合同专用条款】</w:t>
      </w:r>
      <w:r>
        <w:rPr>
          <w:color w:val="auto"/>
        </w:rPr>
        <w:t>中约定。</w:t>
      </w:r>
    </w:p>
    <w:p w14:paraId="08F5EF6C">
      <w:pPr>
        <w:pStyle w:val="26"/>
        <w:jc w:val="left"/>
        <w:outlineLvl w:val="2"/>
        <w:rPr>
          <w:color w:val="auto"/>
        </w:rPr>
      </w:pPr>
      <w:r>
        <w:rPr>
          <w:b/>
          <w:color w:val="auto"/>
          <w:sz w:val="28"/>
        </w:rPr>
        <w:t>12. 合同价款支付</w:t>
      </w:r>
    </w:p>
    <w:p w14:paraId="0D2FD114">
      <w:pPr>
        <w:pStyle w:val="26"/>
        <w:jc w:val="left"/>
        <w:rPr>
          <w:color w:val="auto"/>
        </w:rPr>
      </w:pPr>
      <w:r>
        <w:rPr>
          <w:color w:val="auto"/>
        </w:rPr>
        <w:t>12.1 合同价款支付按照国库集中支付制度及财政管理相关规定执行。</w:t>
      </w:r>
    </w:p>
    <w:p w14:paraId="211C261D">
      <w:pPr>
        <w:pStyle w:val="26"/>
        <w:jc w:val="left"/>
        <w:rPr>
          <w:color w:val="auto"/>
        </w:rPr>
      </w:pPr>
      <w:r>
        <w:rPr>
          <w:color w:val="auto"/>
        </w:rPr>
        <w:t>12.2 对于满足合同约定支付条件的，甲方原则上应当自收到发票后10个工作日内将资金支付到合同约定的乙方账户，不得以机构变动、人员更替、政策调整等为由迟延付款，不得将采购文件和合同中未规定的义务作为向乙方付款的条件。具体合同价款支付时间在</w:t>
      </w:r>
      <w:r>
        <w:rPr>
          <w:b/>
          <w:color w:val="auto"/>
        </w:rPr>
        <w:t>【</w:t>
      </w:r>
      <w:r>
        <w:rPr>
          <w:rFonts w:hint="eastAsia"/>
          <w:b/>
          <w:color w:val="auto"/>
          <w:lang w:eastAsia="zh-CN"/>
        </w:rPr>
        <w:t>企业采购</w:t>
      </w:r>
      <w:r>
        <w:rPr>
          <w:b/>
          <w:color w:val="auto"/>
        </w:rPr>
        <w:t>合同专用条款】</w:t>
      </w:r>
      <w:r>
        <w:rPr>
          <w:color w:val="auto"/>
        </w:rPr>
        <w:t>中约定。</w:t>
      </w:r>
    </w:p>
    <w:p w14:paraId="55D6D5DF">
      <w:pPr>
        <w:pStyle w:val="26"/>
        <w:jc w:val="left"/>
        <w:outlineLvl w:val="2"/>
        <w:rPr>
          <w:color w:val="auto"/>
        </w:rPr>
      </w:pPr>
      <w:r>
        <w:rPr>
          <w:b/>
          <w:color w:val="auto"/>
          <w:sz w:val="28"/>
        </w:rPr>
        <w:t>13. 履约保证金</w:t>
      </w:r>
    </w:p>
    <w:p w14:paraId="2627F591">
      <w:pPr>
        <w:pStyle w:val="26"/>
        <w:jc w:val="left"/>
        <w:rPr>
          <w:color w:val="auto"/>
        </w:rPr>
      </w:pPr>
      <w:r>
        <w:rPr>
          <w:color w:val="auto"/>
        </w:rPr>
        <w:t>13.1 乙方应当以支票、汇票、本票或者金融机构、担保机构出具的保函等非现金形式提交。</w:t>
      </w:r>
    </w:p>
    <w:p w14:paraId="5C26992D">
      <w:pPr>
        <w:pStyle w:val="26"/>
        <w:jc w:val="left"/>
        <w:rPr>
          <w:color w:val="auto"/>
        </w:rPr>
      </w:pPr>
      <w:r>
        <w:rPr>
          <w:color w:val="auto"/>
        </w:rPr>
        <w:t>13.2 如果乙方出现</w:t>
      </w:r>
      <w:r>
        <w:rPr>
          <w:b/>
          <w:color w:val="auto"/>
        </w:rPr>
        <w:t>【</w:t>
      </w:r>
      <w:r>
        <w:rPr>
          <w:rFonts w:hint="eastAsia"/>
          <w:b/>
          <w:color w:val="auto"/>
          <w:lang w:eastAsia="zh-CN"/>
        </w:rPr>
        <w:t>企业采购</w:t>
      </w:r>
      <w:r>
        <w:rPr>
          <w:b/>
          <w:color w:val="auto"/>
        </w:rPr>
        <w:t>合同专用条款】</w:t>
      </w:r>
      <w:r>
        <w:rPr>
          <w:color w:val="auto"/>
        </w:rPr>
        <w:t>约定情形的，履约保证金不予退还；如果乙方未能按合同约定全面履行义务，甲方有权从履约保证金中取得补偿或赔偿，且不影响甲方要求乙方承担合同约定的超过履约保证金的违约责任的权利。</w:t>
      </w:r>
    </w:p>
    <w:p w14:paraId="6B93E2C3">
      <w:pPr>
        <w:pStyle w:val="26"/>
        <w:jc w:val="left"/>
        <w:rPr>
          <w:color w:val="auto"/>
        </w:rPr>
      </w:pPr>
      <w:r>
        <w:rPr>
          <w:color w:val="auto"/>
        </w:rPr>
        <w:t>13.3 甲方在项目通过验收后按照</w:t>
      </w:r>
      <w:r>
        <w:rPr>
          <w:b/>
          <w:color w:val="auto"/>
        </w:rPr>
        <w:t>【</w:t>
      </w:r>
      <w:r>
        <w:rPr>
          <w:rFonts w:hint="eastAsia"/>
          <w:b/>
          <w:color w:val="auto"/>
          <w:lang w:eastAsia="zh-CN"/>
        </w:rPr>
        <w:t>企业采购</w:t>
      </w:r>
      <w:r>
        <w:rPr>
          <w:b/>
          <w:color w:val="auto"/>
        </w:rPr>
        <w:t>合同专用条款】</w:t>
      </w:r>
      <w:r>
        <w:rPr>
          <w:color w:val="auto"/>
        </w:rPr>
        <w:t>规定的时间内将履约保证金退还乙方；逾期退还的，乙方可要求甲方支付违约金，违约金按照</w:t>
      </w:r>
      <w:r>
        <w:rPr>
          <w:b/>
          <w:color w:val="auto"/>
        </w:rPr>
        <w:t>【</w:t>
      </w:r>
      <w:r>
        <w:rPr>
          <w:rFonts w:hint="eastAsia"/>
          <w:b/>
          <w:color w:val="auto"/>
          <w:lang w:eastAsia="zh-CN"/>
        </w:rPr>
        <w:t>企业采购</w:t>
      </w:r>
      <w:r>
        <w:rPr>
          <w:b/>
          <w:color w:val="auto"/>
        </w:rPr>
        <w:t>合同专用条款】</w:t>
      </w:r>
      <w:r>
        <w:rPr>
          <w:color w:val="auto"/>
        </w:rPr>
        <w:t>规定支付。</w:t>
      </w:r>
    </w:p>
    <w:p w14:paraId="0F3E6AD3">
      <w:pPr>
        <w:pStyle w:val="26"/>
        <w:jc w:val="left"/>
        <w:outlineLvl w:val="2"/>
        <w:rPr>
          <w:color w:val="auto"/>
        </w:rPr>
      </w:pPr>
      <w:r>
        <w:rPr>
          <w:b/>
          <w:color w:val="auto"/>
          <w:sz w:val="28"/>
        </w:rPr>
        <w:t>14. 售后服务</w:t>
      </w:r>
    </w:p>
    <w:p w14:paraId="5D8D253B">
      <w:pPr>
        <w:pStyle w:val="26"/>
        <w:jc w:val="left"/>
        <w:rPr>
          <w:color w:val="auto"/>
        </w:rPr>
      </w:pPr>
      <w:r>
        <w:rPr>
          <w:color w:val="auto"/>
        </w:rPr>
        <w:t>14.1 除项目不涉及或采购活动中明确约定无须承担外，乙方还应提供下列服务：</w:t>
      </w:r>
    </w:p>
    <w:p w14:paraId="6C99D332">
      <w:pPr>
        <w:pStyle w:val="26"/>
        <w:jc w:val="left"/>
        <w:outlineLvl w:val="2"/>
        <w:rPr>
          <w:rFonts w:hint="eastAsia" w:ascii="宋体" w:hAnsi="宋体" w:eastAsia="宋体" w:cs="宋体"/>
          <w:b/>
          <w:color w:val="auto"/>
          <w:sz w:val="21"/>
          <w:szCs w:val="21"/>
        </w:rPr>
      </w:pPr>
      <w:r>
        <w:rPr>
          <w:rFonts w:hint="eastAsia" w:ascii="宋体" w:hAnsi="宋体" w:eastAsia="宋体" w:cs="宋体"/>
          <w:b/>
          <w:color w:val="auto"/>
          <w:sz w:val="21"/>
          <w:szCs w:val="21"/>
        </w:rPr>
        <w:t>（1）</w:t>
      </w:r>
      <w:r>
        <w:rPr>
          <w:rFonts w:hint="eastAsia" w:ascii="宋体" w:hAnsi="宋体" w:eastAsia="宋体" w:cs="宋体"/>
          <w:b/>
          <w:color w:val="auto"/>
          <w:sz w:val="21"/>
          <w:szCs w:val="21"/>
          <w:lang w:eastAsia="zh-CN"/>
        </w:rPr>
        <w:t>乙方</w:t>
      </w:r>
      <w:r>
        <w:rPr>
          <w:rFonts w:hint="eastAsia" w:ascii="宋体" w:hAnsi="宋体" w:eastAsia="宋体" w:cs="宋体"/>
          <w:b/>
          <w:color w:val="auto"/>
          <w:sz w:val="21"/>
          <w:szCs w:val="21"/>
        </w:rPr>
        <w:t>应协助买方办理车辆保险、购置税、上牌等手续，期间所发生的费用由买方承担。</w:t>
      </w:r>
    </w:p>
    <w:p w14:paraId="62683C04">
      <w:pPr>
        <w:pStyle w:val="26"/>
        <w:jc w:val="left"/>
        <w:outlineLvl w:val="2"/>
        <w:rPr>
          <w:rFonts w:hint="eastAsia" w:ascii="宋体" w:hAnsi="宋体" w:eastAsia="宋体" w:cs="宋体"/>
          <w:b/>
          <w:color w:val="auto"/>
          <w:sz w:val="21"/>
          <w:szCs w:val="21"/>
        </w:rPr>
      </w:pPr>
      <w:r>
        <w:rPr>
          <w:rFonts w:hint="eastAsia" w:ascii="宋体" w:hAnsi="宋体" w:eastAsia="宋体" w:cs="宋体"/>
          <w:b/>
          <w:color w:val="auto"/>
          <w:sz w:val="21"/>
          <w:szCs w:val="21"/>
        </w:rPr>
        <w:t>（2）</w:t>
      </w:r>
      <w:r>
        <w:rPr>
          <w:rFonts w:hint="eastAsia" w:ascii="宋体" w:hAnsi="宋体" w:eastAsia="宋体" w:cs="宋体"/>
          <w:b/>
          <w:color w:val="auto"/>
          <w:sz w:val="21"/>
          <w:szCs w:val="21"/>
          <w:lang w:eastAsia="zh-CN"/>
        </w:rPr>
        <w:t>乙方</w:t>
      </w:r>
      <w:r>
        <w:rPr>
          <w:rFonts w:hint="eastAsia" w:ascii="宋体" w:hAnsi="宋体" w:eastAsia="宋体" w:cs="宋体"/>
          <w:b/>
          <w:color w:val="auto"/>
          <w:sz w:val="21"/>
          <w:szCs w:val="21"/>
        </w:rPr>
        <w:t>提供发动机及车架号码各拓印1份，附报牌用照片1张。</w:t>
      </w:r>
    </w:p>
    <w:p w14:paraId="2F10175F">
      <w:pPr>
        <w:pStyle w:val="26"/>
        <w:jc w:val="left"/>
        <w:outlineLvl w:val="2"/>
        <w:rPr>
          <w:rFonts w:hint="eastAsia" w:ascii="宋体" w:hAnsi="宋体" w:eastAsia="宋体" w:cs="宋体"/>
          <w:b/>
          <w:color w:val="auto"/>
          <w:sz w:val="21"/>
          <w:szCs w:val="21"/>
        </w:rPr>
      </w:pPr>
      <w:r>
        <w:rPr>
          <w:rFonts w:hint="eastAsia" w:ascii="宋体" w:hAnsi="宋体" w:eastAsia="宋体" w:cs="宋体"/>
          <w:b/>
          <w:color w:val="auto"/>
          <w:sz w:val="21"/>
          <w:szCs w:val="21"/>
        </w:rPr>
        <w:t>（3）</w:t>
      </w:r>
      <w:r>
        <w:rPr>
          <w:rFonts w:hint="eastAsia" w:ascii="宋体" w:hAnsi="宋体" w:eastAsia="宋体" w:cs="宋体"/>
          <w:b/>
          <w:color w:val="auto"/>
          <w:sz w:val="21"/>
          <w:szCs w:val="21"/>
          <w:lang w:eastAsia="zh-CN"/>
        </w:rPr>
        <w:t>乙方</w:t>
      </w:r>
      <w:r>
        <w:rPr>
          <w:rFonts w:hint="eastAsia" w:ascii="宋体" w:hAnsi="宋体" w:eastAsia="宋体" w:cs="宋体"/>
          <w:b/>
          <w:color w:val="auto"/>
          <w:sz w:val="21"/>
          <w:szCs w:val="21"/>
        </w:rPr>
        <w:t>提供车身结构图。</w:t>
      </w:r>
    </w:p>
    <w:p w14:paraId="4FF5EC61">
      <w:pPr>
        <w:pStyle w:val="26"/>
        <w:jc w:val="left"/>
        <w:outlineLvl w:val="2"/>
        <w:rPr>
          <w:rFonts w:hint="eastAsia" w:ascii="宋体" w:hAnsi="宋体" w:eastAsia="宋体" w:cs="宋体"/>
          <w:b/>
          <w:color w:val="auto"/>
          <w:sz w:val="21"/>
          <w:szCs w:val="21"/>
        </w:rPr>
      </w:pPr>
      <w:r>
        <w:rPr>
          <w:rFonts w:hint="eastAsia" w:ascii="宋体" w:hAnsi="宋体" w:eastAsia="宋体" w:cs="宋体"/>
          <w:b/>
          <w:color w:val="auto"/>
          <w:sz w:val="21"/>
          <w:szCs w:val="21"/>
        </w:rPr>
        <w:t>（4）</w:t>
      </w:r>
      <w:r>
        <w:rPr>
          <w:rFonts w:hint="eastAsia" w:ascii="宋体" w:hAnsi="宋体" w:eastAsia="宋体" w:cs="宋体"/>
          <w:b/>
          <w:color w:val="auto"/>
          <w:sz w:val="21"/>
          <w:szCs w:val="21"/>
          <w:lang w:eastAsia="zh-CN"/>
        </w:rPr>
        <w:t>乙方</w:t>
      </w:r>
      <w:r>
        <w:rPr>
          <w:rFonts w:hint="eastAsia" w:ascii="宋体" w:hAnsi="宋体" w:eastAsia="宋体" w:cs="宋体"/>
          <w:b/>
          <w:color w:val="auto"/>
          <w:sz w:val="21"/>
          <w:szCs w:val="21"/>
        </w:rPr>
        <w:t>应及时向采购人提供车辆及服务，并承诺与采购人进行积极主动的合作，</w:t>
      </w:r>
      <w:r>
        <w:rPr>
          <w:rFonts w:hint="eastAsia" w:ascii="宋体" w:hAnsi="宋体" w:eastAsia="宋体" w:cs="宋体"/>
          <w:b/>
          <w:color w:val="auto"/>
          <w:sz w:val="21"/>
          <w:szCs w:val="21"/>
          <w:lang w:eastAsia="zh-CN"/>
        </w:rPr>
        <w:t>乙方</w:t>
      </w:r>
      <w:r>
        <w:rPr>
          <w:rFonts w:hint="eastAsia" w:ascii="宋体" w:hAnsi="宋体" w:eastAsia="宋体" w:cs="宋体"/>
          <w:b/>
          <w:color w:val="auto"/>
          <w:sz w:val="21"/>
          <w:szCs w:val="21"/>
        </w:rPr>
        <w:t>必须服从采购人的统一协调，在车辆供货、技术支持、运行维护等方面相互配合。</w:t>
      </w:r>
    </w:p>
    <w:p w14:paraId="636D1444">
      <w:pPr>
        <w:pStyle w:val="26"/>
        <w:jc w:val="left"/>
        <w:outlineLvl w:val="2"/>
        <w:rPr>
          <w:rFonts w:hint="eastAsia" w:ascii="宋体" w:hAnsi="宋体" w:eastAsia="宋体" w:cs="宋体"/>
          <w:b/>
          <w:color w:val="auto"/>
          <w:sz w:val="21"/>
          <w:szCs w:val="21"/>
        </w:rPr>
      </w:pPr>
      <w:r>
        <w:rPr>
          <w:rFonts w:hint="eastAsia" w:ascii="宋体" w:hAnsi="宋体" w:eastAsia="宋体" w:cs="宋体"/>
          <w:b/>
          <w:color w:val="auto"/>
          <w:sz w:val="21"/>
          <w:szCs w:val="21"/>
        </w:rPr>
        <w:t>（5）</w:t>
      </w:r>
      <w:r>
        <w:rPr>
          <w:rFonts w:hint="eastAsia" w:ascii="宋体" w:hAnsi="宋体" w:eastAsia="宋体" w:cs="宋体"/>
          <w:b/>
          <w:color w:val="auto"/>
          <w:sz w:val="21"/>
          <w:szCs w:val="21"/>
          <w:lang w:eastAsia="zh-CN"/>
        </w:rPr>
        <w:t>乙方</w:t>
      </w:r>
      <w:r>
        <w:rPr>
          <w:rFonts w:hint="eastAsia" w:ascii="宋体" w:hAnsi="宋体" w:eastAsia="宋体" w:cs="宋体"/>
          <w:b/>
          <w:color w:val="auto"/>
          <w:sz w:val="21"/>
          <w:szCs w:val="21"/>
        </w:rPr>
        <w:t>负责本次招标内容的车辆运输、协助招标人交验货，同时</w:t>
      </w:r>
      <w:r>
        <w:rPr>
          <w:rFonts w:hint="eastAsia" w:ascii="宋体" w:hAnsi="宋体" w:eastAsia="宋体" w:cs="宋体"/>
          <w:b/>
          <w:color w:val="auto"/>
          <w:sz w:val="21"/>
          <w:szCs w:val="21"/>
          <w:lang w:eastAsia="zh-CN"/>
        </w:rPr>
        <w:t>乙方</w:t>
      </w:r>
      <w:r>
        <w:rPr>
          <w:rFonts w:hint="eastAsia" w:ascii="宋体" w:hAnsi="宋体" w:eastAsia="宋体" w:cs="宋体"/>
          <w:b/>
          <w:color w:val="auto"/>
          <w:sz w:val="21"/>
          <w:szCs w:val="21"/>
        </w:rPr>
        <w:t>提供的车辆承诺的全部售后服务条款(如质保期、现场维修等)，不得擅自缩小售后服务范围。</w:t>
      </w:r>
    </w:p>
    <w:p w14:paraId="19C5590F">
      <w:pPr>
        <w:pStyle w:val="26"/>
        <w:jc w:val="left"/>
        <w:outlineLvl w:val="2"/>
        <w:rPr>
          <w:rFonts w:hint="eastAsia" w:ascii="宋体" w:hAnsi="宋体" w:eastAsia="宋体" w:cs="宋体"/>
          <w:b/>
          <w:color w:val="auto"/>
          <w:sz w:val="21"/>
          <w:szCs w:val="21"/>
        </w:rPr>
      </w:pPr>
      <w:r>
        <w:rPr>
          <w:rFonts w:hint="eastAsia" w:ascii="宋体" w:hAnsi="宋体" w:eastAsia="宋体" w:cs="宋体"/>
          <w:b/>
          <w:color w:val="auto"/>
          <w:sz w:val="21"/>
          <w:szCs w:val="21"/>
        </w:rPr>
        <w:t>（6）产品未经验收时，由</w:t>
      </w:r>
      <w:r>
        <w:rPr>
          <w:rFonts w:hint="eastAsia" w:ascii="宋体" w:hAnsi="宋体" w:eastAsia="宋体" w:cs="宋体"/>
          <w:b/>
          <w:color w:val="auto"/>
          <w:sz w:val="21"/>
          <w:szCs w:val="21"/>
          <w:lang w:eastAsia="zh-CN"/>
        </w:rPr>
        <w:t>乙方</w:t>
      </w:r>
      <w:r>
        <w:rPr>
          <w:rFonts w:hint="eastAsia" w:ascii="宋体" w:hAnsi="宋体" w:eastAsia="宋体" w:cs="宋体"/>
          <w:b/>
          <w:color w:val="auto"/>
          <w:sz w:val="21"/>
          <w:szCs w:val="21"/>
        </w:rPr>
        <w:t>负责保管至招标项目交货结束，其间发生的损坏、遗失由</w:t>
      </w:r>
      <w:r>
        <w:rPr>
          <w:rFonts w:hint="eastAsia" w:ascii="宋体" w:hAnsi="宋体" w:eastAsia="宋体" w:cs="宋体"/>
          <w:b/>
          <w:color w:val="auto"/>
          <w:sz w:val="21"/>
          <w:szCs w:val="21"/>
          <w:lang w:eastAsia="zh-CN"/>
        </w:rPr>
        <w:t>乙方</w:t>
      </w:r>
      <w:r>
        <w:rPr>
          <w:rFonts w:hint="eastAsia" w:ascii="宋体" w:hAnsi="宋体" w:eastAsia="宋体" w:cs="宋体"/>
          <w:b/>
          <w:color w:val="auto"/>
          <w:sz w:val="21"/>
          <w:szCs w:val="21"/>
        </w:rPr>
        <w:t>负责。</w:t>
      </w:r>
    </w:p>
    <w:p w14:paraId="1588E29D">
      <w:pPr>
        <w:pStyle w:val="26"/>
        <w:jc w:val="left"/>
        <w:outlineLvl w:val="2"/>
        <w:rPr>
          <w:rFonts w:hint="eastAsia" w:ascii="宋体" w:hAnsi="宋体" w:eastAsia="宋体" w:cs="宋体"/>
          <w:b/>
          <w:color w:val="auto"/>
          <w:sz w:val="21"/>
          <w:szCs w:val="21"/>
        </w:rPr>
      </w:pPr>
      <w:r>
        <w:rPr>
          <w:rFonts w:hint="eastAsia" w:ascii="宋体" w:hAnsi="宋体" w:eastAsia="宋体" w:cs="宋体"/>
          <w:b/>
          <w:color w:val="auto"/>
          <w:sz w:val="21"/>
          <w:szCs w:val="21"/>
          <w:lang w:val="en-US" w:eastAsia="zh-CN"/>
        </w:rPr>
        <w:t>14.2</w:t>
      </w:r>
      <w:r>
        <w:rPr>
          <w:rFonts w:hint="eastAsia" w:ascii="宋体" w:hAnsi="宋体" w:eastAsia="宋体" w:cs="宋体"/>
          <w:b/>
          <w:color w:val="auto"/>
          <w:sz w:val="21"/>
          <w:szCs w:val="21"/>
        </w:rPr>
        <w:t xml:space="preserve"> 维保服务</w:t>
      </w:r>
    </w:p>
    <w:p w14:paraId="7A4A2FC8">
      <w:pPr>
        <w:pStyle w:val="26"/>
        <w:jc w:val="left"/>
        <w:outlineLvl w:val="2"/>
        <w:rPr>
          <w:rFonts w:hint="eastAsia" w:ascii="宋体" w:hAnsi="宋体" w:eastAsia="宋体" w:cs="宋体"/>
          <w:b/>
          <w:color w:val="auto"/>
          <w:sz w:val="21"/>
          <w:szCs w:val="21"/>
          <w:lang w:val="en-US" w:eastAsia="zh-CN"/>
        </w:rPr>
      </w:pPr>
      <w:r>
        <w:rPr>
          <w:rFonts w:hint="eastAsia" w:ascii="宋体" w:hAnsi="宋体" w:eastAsia="宋体" w:cs="宋体"/>
          <w:b/>
          <w:color w:val="auto"/>
          <w:sz w:val="21"/>
          <w:szCs w:val="21"/>
          <w:lang w:val="en-US" w:eastAsia="zh-CN"/>
        </w:rPr>
        <w:t>14</w:t>
      </w:r>
      <w:r>
        <w:rPr>
          <w:rFonts w:hint="eastAsia" w:ascii="宋体" w:hAnsi="宋体" w:eastAsia="宋体" w:cs="宋体"/>
          <w:b/>
          <w:color w:val="auto"/>
          <w:sz w:val="21"/>
          <w:szCs w:val="21"/>
        </w:rPr>
        <w:t>.2.1</w:t>
      </w:r>
      <w:r>
        <w:rPr>
          <w:rFonts w:hint="eastAsia" w:ascii="宋体" w:hAnsi="宋体" w:eastAsia="宋体" w:cs="宋体"/>
          <w:b/>
          <w:color w:val="auto"/>
          <w:sz w:val="21"/>
          <w:szCs w:val="21"/>
          <w:lang w:eastAsia="zh-CN"/>
        </w:rPr>
        <w:t>采购包</w:t>
      </w:r>
      <w:r>
        <w:rPr>
          <w:rFonts w:hint="eastAsia" w:ascii="宋体" w:hAnsi="宋体" w:eastAsia="宋体" w:cs="宋体"/>
          <w:b/>
          <w:color w:val="auto"/>
          <w:sz w:val="21"/>
          <w:szCs w:val="21"/>
          <w:lang w:val="en-US" w:eastAsia="zh-CN"/>
        </w:rPr>
        <w:t>1和采购包2的</w:t>
      </w:r>
      <w:r>
        <w:rPr>
          <w:rFonts w:hint="eastAsia" w:ascii="宋体" w:hAnsi="宋体" w:eastAsia="宋体" w:cs="宋体"/>
          <w:b/>
          <w:color w:val="auto"/>
          <w:sz w:val="21"/>
          <w:szCs w:val="21"/>
        </w:rPr>
        <w:t>整车质保期为车辆登记之日起24个月或有更长的约定</w:t>
      </w:r>
      <w:r>
        <w:rPr>
          <w:rFonts w:hint="eastAsia" w:ascii="宋体" w:hAnsi="宋体" w:eastAsia="宋体" w:cs="宋体"/>
          <w:b/>
          <w:color w:val="auto"/>
          <w:sz w:val="21"/>
          <w:szCs w:val="21"/>
          <w:lang w:eastAsia="zh-CN"/>
        </w:rPr>
        <w:t>；</w:t>
      </w:r>
      <w:r>
        <w:rPr>
          <w:rFonts w:hint="eastAsia" w:ascii="宋体" w:hAnsi="宋体" w:eastAsia="宋体" w:cs="宋体"/>
          <w:b/>
          <w:color w:val="auto"/>
          <w:sz w:val="21"/>
          <w:szCs w:val="21"/>
          <w:lang w:val="en-US" w:eastAsia="zh-CN"/>
        </w:rPr>
        <w:t>其中</w:t>
      </w:r>
      <w:r>
        <w:rPr>
          <w:rFonts w:hint="eastAsia" w:ascii="宋体" w:hAnsi="宋体" w:eastAsia="宋体" w:cs="宋体"/>
          <w:b/>
          <w:color w:val="auto"/>
          <w:sz w:val="21"/>
          <w:szCs w:val="21"/>
          <w:lang w:eastAsia="zh-CN"/>
        </w:rPr>
        <w:t>包</w:t>
      </w:r>
      <w:r>
        <w:rPr>
          <w:rFonts w:hint="eastAsia" w:ascii="宋体" w:hAnsi="宋体" w:eastAsia="宋体" w:cs="宋体"/>
          <w:b/>
          <w:color w:val="auto"/>
          <w:sz w:val="21"/>
          <w:szCs w:val="21"/>
          <w:lang w:val="en-US" w:eastAsia="zh-CN"/>
        </w:rPr>
        <w:t>1：动力</w:t>
      </w:r>
      <w:r>
        <w:rPr>
          <w:rFonts w:hint="eastAsia" w:ascii="宋体" w:hAnsi="宋体" w:eastAsia="宋体" w:cs="宋体"/>
          <w:b/>
          <w:color w:val="auto"/>
          <w:sz w:val="21"/>
          <w:szCs w:val="21"/>
          <w:lang w:eastAsia="zh-CN"/>
        </w:rPr>
        <w:t>电池：质保</w:t>
      </w:r>
      <w:r>
        <w:rPr>
          <w:rFonts w:hint="eastAsia" w:ascii="宋体" w:hAnsi="宋体" w:eastAsia="宋体" w:cs="宋体"/>
          <w:b/>
          <w:color w:val="auto"/>
          <w:sz w:val="21"/>
          <w:szCs w:val="21"/>
          <w:lang w:val="en-US" w:eastAsia="zh-CN"/>
        </w:rPr>
        <w:t>10</w:t>
      </w:r>
      <w:r>
        <w:rPr>
          <w:rFonts w:hint="eastAsia" w:ascii="宋体" w:hAnsi="宋体" w:eastAsia="宋体" w:cs="宋体"/>
          <w:b/>
          <w:color w:val="auto"/>
          <w:sz w:val="21"/>
          <w:szCs w:val="21"/>
          <w:lang w:eastAsia="zh-CN"/>
        </w:rPr>
        <w:t>年</w:t>
      </w:r>
      <w:r>
        <w:rPr>
          <w:rFonts w:hint="eastAsia" w:ascii="宋体" w:hAnsi="宋体" w:eastAsia="宋体" w:cs="宋体"/>
          <w:b/>
          <w:color w:val="auto"/>
          <w:sz w:val="21"/>
          <w:szCs w:val="21"/>
          <w:lang w:val="en-US" w:eastAsia="zh-CN"/>
        </w:rPr>
        <w:t>或80万公里</w:t>
      </w:r>
      <w:r>
        <w:rPr>
          <w:rFonts w:hint="eastAsia" w:ascii="宋体" w:hAnsi="宋体" w:eastAsia="宋体" w:cs="宋体"/>
          <w:b/>
          <w:color w:val="auto"/>
          <w:sz w:val="21"/>
          <w:szCs w:val="21"/>
          <w:lang w:eastAsia="zh-CN"/>
        </w:rPr>
        <w:t>，</w:t>
      </w:r>
      <w:r>
        <w:rPr>
          <w:rFonts w:hint="eastAsia" w:ascii="宋体" w:hAnsi="宋体" w:eastAsia="宋体" w:cs="宋体"/>
          <w:b/>
          <w:color w:val="auto"/>
          <w:sz w:val="21"/>
          <w:szCs w:val="21"/>
          <w:lang w:val="en-US" w:eastAsia="zh-CN"/>
        </w:rPr>
        <w:t>质保期内</w:t>
      </w:r>
      <w:r>
        <w:rPr>
          <w:rFonts w:hint="eastAsia" w:ascii="宋体" w:hAnsi="宋体" w:eastAsia="宋体" w:cs="宋体"/>
          <w:b/>
          <w:color w:val="auto"/>
          <w:sz w:val="21"/>
          <w:szCs w:val="21"/>
          <w:lang w:eastAsia="zh-CN"/>
        </w:rPr>
        <w:t>电池若衰减大于30%，车厂必须免费更换同品牌电池，</w:t>
      </w:r>
      <w:r>
        <w:rPr>
          <w:rFonts w:hint="eastAsia" w:ascii="宋体" w:hAnsi="宋体" w:eastAsia="宋体" w:cs="宋体"/>
          <w:b/>
          <w:color w:val="auto"/>
          <w:sz w:val="21"/>
          <w:szCs w:val="21"/>
          <w:lang w:val="en-US" w:eastAsia="zh-CN"/>
        </w:rPr>
        <w:t>电</w:t>
      </w:r>
      <w:r>
        <w:rPr>
          <w:rFonts w:hint="eastAsia" w:ascii="宋体" w:hAnsi="宋体" w:eastAsia="宋体" w:cs="宋体"/>
          <w:b/>
          <w:color w:val="auto"/>
          <w:sz w:val="21"/>
          <w:szCs w:val="21"/>
          <w:lang w:eastAsia="zh-CN"/>
        </w:rPr>
        <w:t>控系统、电机、转向机、</w:t>
      </w:r>
      <w:r>
        <w:rPr>
          <w:rFonts w:hint="eastAsia" w:ascii="宋体" w:hAnsi="宋体" w:eastAsia="宋体" w:cs="宋体"/>
          <w:b/>
          <w:color w:val="auto"/>
          <w:sz w:val="21"/>
          <w:szCs w:val="21"/>
          <w:lang w:val="en-US" w:eastAsia="zh-CN"/>
        </w:rPr>
        <w:t>轴荷、</w:t>
      </w:r>
      <w:r>
        <w:rPr>
          <w:rFonts w:hint="eastAsia" w:ascii="宋体" w:hAnsi="宋体" w:eastAsia="宋体" w:cs="宋体"/>
          <w:b/>
          <w:color w:val="auto"/>
          <w:sz w:val="21"/>
          <w:szCs w:val="21"/>
          <w:lang w:eastAsia="zh-CN"/>
        </w:rPr>
        <w:t>空压机、</w:t>
      </w:r>
      <w:r>
        <w:rPr>
          <w:rFonts w:hint="eastAsia" w:ascii="宋体" w:hAnsi="宋体" w:eastAsia="宋体" w:cs="宋体"/>
          <w:b/>
          <w:color w:val="auto"/>
          <w:sz w:val="21"/>
          <w:szCs w:val="21"/>
          <w:lang w:val="en-US" w:eastAsia="zh-CN"/>
        </w:rPr>
        <w:t>集中润滑系统、</w:t>
      </w:r>
      <w:r>
        <w:rPr>
          <w:rFonts w:hint="eastAsia" w:ascii="宋体" w:hAnsi="宋体" w:eastAsia="宋体" w:cs="宋体"/>
          <w:b/>
          <w:color w:val="auto"/>
          <w:sz w:val="21"/>
          <w:szCs w:val="21"/>
          <w:lang w:eastAsia="zh-CN"/>
        </w:rPr>
        <w:t>地板、</w:t>
      </w:r>
      <w:r>
        <w:rPr>
          <w:rFonts w:hint="eastAsia" w:ascii="宋体" w:hAnsi="宋体" w:eastAsia="宋体" w:cs="宋体"/>
          <w:b/>
          <w:color w:val="auto"/>
          <w:sz w:val="21"/>
          <w:szCs w:val="21"/>
          <w:lang w:val="en-US" w:eastAsia="zh-CN"/>
        </w:rPr>
        <w:t>石英砂</w:t>
      </w:r>
      <w:r>
        <w:rPr>
          <w:rFonts w:hint="eastAsia" w:ascii="宋体" w:hAnsi="宋体" w:eastAsia="宋体" w:cs="宋体"/>
          <w:b/>
          <w:color w:val="auto"/>
          <w:sz w:val="21"/>
          <w:szCs w:val="21"/>
          <w:lang w:eastAsia="zh-CN"/>
        </w:rPr>
        <w:t>地板革</w:t>
      </w:r>
      <w:r>
        <w:rPr>
          <w:rFonts w:hint="eastAsia" w:ascii="宋体" w:hAnsi="宋体" w:eastAsia="宋体" w:cs="宋体"/>
          <w:b/>
          <w:color w:val="auto"/>
          <w:sz w:val="21"/>
          <w:szCs w:val="21"/>
          <w:lang w:val="en-US" w:eastAsia="zh-CN"/>
        </w:rPr>
        <w:t>的质保期为8年，空调为5年；</w:t>
      </w:r>
      <w:r>
        <w:rPr>
          <w:rFonts w:hint="eastAsia" w:ascii="宋体" w:hAnsi="宋体" w:eastAsia="宋体" w:cs="宋体"/>
          <w:b/>
          <w:color w:val="auto"/>
          <w:sz w:val="21"/>
          <w:szCs w:val="21"/>
          <w:lang w:eastAsia="zh-CN"/>
        </w:rPr>
        <w:t>包</w:t>
      </w:r>
      <w:r>
        <w:rPr>
          <w:rFonts w:hint="eastAsia" w:ascii="宋体" w:hAnsi="宋体" w:eastAsia="宋体" w:cs="宋体"/>
          <w:b/>
          <w:color w:val="auto"/>
          <w:sz w:val="21"/>
          <w:szCs w:val="21"/>
          <w:lang w:val="en-US" w:eastAsia="zh-CN"/>
        </w:rPr>
        <w:t>2：</w:t>
      </w:r>
      <w:r>
        <w:rPr>
          <w:rFonts w:hint="eastAsia" w:ascii="宋体" w:hAnsi="宋体" w:eastAsia="宋体" w:cs="宋体"/>
          <w:b/>
          <w:color w:val="auto"/>
          <w:sz w:val="21"/>
          <w:szCs w:val="21"/>
        </w:rPr>
        <w:t>电池质保10年</w:t>
      </w:r>
      <w:r>
        <w:rPr>
          <w:rFonts w:hint="eastAsia" w:ascii="宋体" w:hAnsi="宋体" w:eastAsia="宋体" w:cs="宋体"/>
          <w:b/>
          <w:color w:val="auto"/>
          <w:sz w:val="21"/>
          <w:szCs w:val="21"/>
          <w:lang w:val="en-US" w:eastAsia="zh-CN"/>
        </w:rPr>
        <w:t>或80万公里，</w:t>
      </w:r>
      <w:r>
        <w:rPr>
          <w:rFonts w:hint="eastAsia" w:ascii="宋体" w:hAnsi="宋体" w:eastAsia="宋体" w:cs="宋体"/>
          <w:b/>
          <w:color w:val="auto"/>
          <w:sz w:val="21"/>
          <w:szCs w:val="21"/>
        </w:rPr>
        <w:t>电机、电控</w:t>
      </w:r>
      <w:r>
        <w:rPr>
          <w:rFonts w:hint="eastAsia" w:ascii="宋体" w:hAnsi="宋体" w:eastAsia="宋体" w:cs="宋体"/>
          <w:b/>
          <w:color w:val="auto"/>
          <w:sz w:val="21"/>
          <w:szCs w:val="21"/>
          <w:lang w:eastAsia="zh-CN"/>
        </w:rPr>
        <w:t>、</w:t>
      </w:r>
      <w:r>
        <w:rPr>
          <w:rFonts w:hint="eastAsia" w:ascii="宋体" w:hAnsi="宋体" w:eastAsia="宋体" w:cs="宋体"/>
          <w:b/>
          <w:color w:val="auto"/>
          <w:sz w:val="21"/>
          <w:szCs w:val="21"/>
        </w:rPr>
        <w:t>前后桥</w:t>
      </w:r>
      <w:r>
        <w:rPr>
          <w:rFonts w:hint="eastAsia" w:ascii="宋体" w:hAnsi="宋体" w:eastAsia="宋体" w:cs="宋体"/>
          <w:b/>
          <w:color w:val="auto"/>
          <w:sz w:val="21"/>
          <w:szCs w:val="21"/>
          <w:lang w:eastAsia="zh-CN"/>
        </w:rPr>
        <w:t>、</w:t>
      </w:r>
      <w:r>
        <w:rPr>
          <w:rFonts w:hint="eastAsia" w:ascii="宋体" w:hAnsi="宋体" w:eastAsia="宋体" w:cs="宋体"/>
          <w:b/>
          <w:color w:val="auto"/>
          <w:sz w:val="21"/>
          <w:szCs w:val="21"/>
        </w:rPr>
        <w:t>转向器</w:t>
      </w:r>
      <w:r>
        <w:rPr>
          <w:rFonts w:hint="eastAsia" w:ascii="宋体" w:hAnsi="宋体" w:eastAsia="宋体" w:cs="宋体"/>
          <w:b/>
          <w:color w:val="auto"/>
          <w:sz w:val="21"/>
          <w:szCs w:val="21"/>
          <w:lang w:eastAsia="zh-CN"/>
        </w:rPr>
        <w:t>、</w:t>
      </w:r>
      <w:r>
        <w:rPr>
          <w:rFonts w:hint="eastAsia" w:ascii="宋体" w:hAnsi="宋体" w:eastAsia="宋体" w:cs="宋体"/>
          <w:b/>
          <w:color w:val="auto"/>
          <w:sz w:val="21"/>
          <w:szCs w:val="21"/>
        </w:rPr>
        <w:t>打气泵</w:t>
      </w:r>
      <w:r>
        <w:rPr>
          <w:rFonts w:hint="eastAsia" w:ascii="宋体" w:hAnsi="宋体" w:eastAsia="宋体" w:cs="宋体"/>
          <w:b/>
          <w:color w:val="auto"/>
          <w:sz w:val="21"/>
          <w:szCs w:val="21"/>
          <w:lang w:eastAsia="zh-CN"/>
        </w:rPr>
        <w:t>、</w:t>
      </w:r>
      <w:r>
        <w:rPr>
          <w:rFonts w:hint="eastAsia" w:ascii="宋体" w:hAnsi="宋体" w:eastAsia="宋体" w:cs="宋体"/>
          <w:b/>
          <w:color w:val="auto"/>
          <w:sz w:val="21"/>
          <w:szCs w:val="21"/>
          <w:lang w:val="en-US" w:eastAsia="zh-CN"/>
        </w:rPr>
        <w:t>集中润滑系统、石英砂地板革的质保期为8年，空调为5年。招标文件未约定的按国家标准执行。</w:t>
      </w:r>
    </w:p>
    <w:p w14:paraId="245DAD6C">
      <w:pPr>
        <w:pStyle w:val="26"/>
        <w:jc w:val="left"/>
        <w:outlineLvl w:val="2"/>
        <w:rPr>
          <w:rFonts w:hint="eastAsia" w:ascii="宋体" w:hAnsi="宋体" w:eastAsia="宋体" w:cs="宋体"/>
          <w:b/>
          <w:color w:val="auto"/>
          <w:sz w:val="21"/>
          <w:szCs w:val="21"/>
        </w:rPr>
      </w:pPr>
      <w:r>
        <w:rPr>
          <w:rFonts w:hint="eastAsia" w:ascii="宋体" w:hAnsi="宋体" w:eastAsia="宋体" w:cs="宋体"/>
          <w:b/>
          <w:color w:val="auto"/>
          <w:sz w:val="21"/>
          <w:szCs w:val="21"/>
          <w:lang w:val="en-US" w:eastAsia="zh-CN"/>
        </w:rPr>
        <w:t>14</w:t>
      </w:r>
      <w:r>
        <w:rPr>
          <w:rFonts w:hint="eastAsia" w:ascii="宋体" w:hAnsi="宋体" w:eastAsia="宋体" w:cs="宋体"/>
          <w:b/>
          <w:color w:val="auto"/>
          <w:sz w:val="21"/>
          <w:szCs w:val="21"/>
        </w:rPr>
        <w:t>.2.2质保期内如设备发生故障, 经过鉴定，属于厂家产品质量问题的，</w:t>
      </w:r>
      <w:r>
        <w:rPr>
          <w:rFonts w:hint="eastAsia" w:ascii="宋体" w:hAnsi="宋体" w:eastAsia="宋体" w:cs="宋体"/>
          <w:b/>
          <w:color w:val="auto"/>
          <w:sz w:val="21"/>
          <w:szCs w:val="21"/>
          <w:lang w:eastAsia="zh-CN"/>
        </w:rPr>
        <w:t>乙方</w:t>
      </w:r>
      <w:r>
        <w:rPr>
          <w:rFonts w:hint="eastAsia" w:ascii="宋体" w:hAnsi="宋体" w:eastAsia="宋体" w:cs="宋体"/>
          <w:b/>
          <w:color w:val="auto"/>
          <w:sz w:val="21"/>
          <w:szCs w:val="21"/>
        </w:rPr>
        <w:t>须免费更换部件，该部件必须是原厂的产品；质保期内</w:t>
      </w:r>
      <w:r>
        <w:rPr>
          <w:rFonts w:hint="eastAsia" w:ascii="宋体" w:hAnsi="宋体" w:eastAsia="宋体" w:cs="宋体"/>
          <w:b/>
          <w:color w:val="auto"/>
          <w:sz w:val="21"/>
          <w:szCs w:val="21"/>
          <w:lang w:eastAsia="zh-CN"/>
        </w:rPr>
        <w:t>乙方</w:t>
      </w:r>
      <w:r>
        <w:rPr>
          <w:rFonts w:hint="eastAsia" w:ascii="宋体" w:hAnsi="宋体" w:eastAsia="宋体" w:cs="宋体"/>
          <w:b/>
          <w:color w:val="auto"/>
          <w:sz w:val="21"/>
          <w:szCs w:val="21"/>
        </w:rPr>
        <w:t>在接到买方故障通知后应在3小时内作出响应；</w:t>
      </w:r>
    </w:p>
    <w:p w14:paraId="3A301561">
      <w:pPr>
        <w:pStyle w:val="26"/>
        <w:jc w:val="left"/>
        <w:outlineLvl w:val="2"/>
        <w:rPr>
          <w:rFonts w:hint="eastAsia" w:ascii="宋体" w:hAnsi="宋体" w:eastAsia="宋体" w:cs="宋体"/>
          <w:b/>
          <w:color w:val="auto"/>
          <w:sz w:val="21"/>
          <w:szCs w:val="21"/>
        </w:rPr>
      </w:pPr>
      <w:r>
        <w:rPr>
          <w:rFonts w:hint="eastAsia" w:ascii="宋体" w:hAnsi="宋体" w:eastAsia="宋体" w:cs="宋体"/>
          <w:b/>
          <w:color w:val="auto"/>
          <w:sz w:val="21"/>
          <w:szCs w:val="21"/>
          <w:lang w:val="en-US" w:eastAsia="zh-CN"/>
        </w:rPr>
        <w:t>14</w:t>
      </w:r>
      <w:r>
        <w:rPr>
          <w:rFonts w:hint="eastAsia" w:ascii="宋体" w:hAnsi="宋体" w:eastAsia="宋体" w:cs="宋体"/>
          <w:b/>
          <w:color w:val="auto"/>
          <w:sz w:val="21"/>
          <w:szCs w:val="21"/>
        </w:rPr>
        <w:t>.2.3在保修期结束前1个月，要对车辆进行一次全面的检查；</w:t>
      </w:r>
    </w:p>
    <w:p w14:paraId="6D59EE9A">
      <w:pPr>
        <w:pStyle w:val="26"/>
        <w:jc w:val="left"/>
        <w:outlineLvl w:val="2"/>
        <w:rPr>
          <w:rFonts w:hint="eastAsia" w:ascii="宋体" w:hAnsi="宋体" w:eastAsia="宋体" w:cs="宋体"/>
          <w:b/>
          <w:color w:val="auto"/>
          <w:sz w:val="21"/>
          <w:szCs w:val="21"/>
        </w:rPr>
      </w:pPr>
      <w:r>
        <w:rPr>
          <w:rFonts w:hint="eastAsia" w:ascii="宋体" w:hAnsi="宋体" w:eastAsia="宋体" w:cs="宋体"/>
          <w:b/>
          <w:color w:val="auto"/>
          <w:sz w:val="21"/>
          <w:szCs w:val="21"/>
          <w:lang w:val="en-US" w:eastAsia="zh-CN"/>
        </w:rPr>
        <w:t>14</w:t>
      </w:r>
      <w:r>
        <w:rPr>
          <w:rFonts w:hint="eastAsia" w:ascii="宋体" w:hAnsi="宋体" w:eastAsia="宋体" w:cs="宋体"/>
          <w:b/>
          <w:color w:val="auto"/>
          <w:sz w:val="21"/>
          <w:szCs w:val="21"/>
        </w:rPr>
        <w:t>.2.4</w:t>
      </w:r>
      <w:r>
        <w:rPr>
          <w:rFonts w:hint="eastAsia" w:ascii="宋体" w:hAnsi="宋体" w:eastAsia="宋体" w:cs="宋体"/>
          <w:b/>
          <w:color w:val="auto"/>
          <w:sz w:val="21"/>
          <w:szCs w:val="21"/>
          <w:lang w:eastAsia="zh-CN"/>
        </w:rPr>
        <w:t>乙方</w:t>
      </w:r>
      <w:r>
        <w:rPr>
          <w:rFonts w:hint="eastAsia" w:ascii="宋体" w:hAnsi="宋体" w:eastAsia="宋体" w:cs="宋体"/>
          <w:b/>
          <w:color w:val="auto"/>
          <w:sz w:val="21"/>
          <w:szCs w:val="21"/>
        </w:rPr>
        <w:t>在质保期过后，仍应负责对货物提供维修服务，更换配件时享受中标方最新的优惠政策；</w:t>
      </w:r>
    </w:p>
    <w:p w14:paraId="2B35A37E">
      <w:pPr>
        <w:pStyle w:val="26"/>
        <w:jc w:val="left"/>
        <w:outlineLvl w:val="2"/>
        <w:rPr>
          <w:color w:val="auto"/>
        </w:rPr>
      </w:pPr>
      <w:r>
        <w:rPr>
          <w:b/>
          <w:color w:val="auto"/>
          <w:sz w:val="28"/>
        </w:rPr>
        <w:t>15. 违约责任</w:t>
      </w:r>
    </w:p>
    <w:p w14:paraId="08BB9FD5">
      <w:pPr>
        <w:pStyle w:val="26"/>
        <w:jc w:val="left"/>
        <w:rPr>
          <w:color w:val="auto"/>
        </w:rPr>
      </w:pPr>
      <w:r>
        <w:rPr>
          <w:color w:val="auto"/>
        </w:rPr>
        <w:t>15.1质量瑕疵的违约责任</w:t>
      </w:r>
    </w:p>
    <w:p w14:paraId="47462B1F">
      <w:pPr>
        <w:pStyle w:val="26"/>
        <w:jc w:val="left"/>
        <w:rPr>
          <w:color w:val="auto"/>
        </w:rPr>
      </w:pPr>
      <w:r>
        <w:rPr>
          <w:color w:val="auto"/>
        </w:rPr>
        <w:t>乙方提供的产品不符合合同约定的质量标准或存在产品质量缺陷，甲方有权要求乙方根据</w:t>
      </w:r>
      <w:r>
        <w:rPr>
          <w:b/>
          <w:color w:val="auto"/>
        </w:rPr>
        <w:t>【</w:t>
      </w:r>
      <w:r>
        <w:rPr>
          <w:rFonts w:hint="eastAsia"/>
          <w:b/>
          <w:color w:val="auto"/>
          <w:lang w:eastAsia="zh-CN"/>
        </w:rPr>
        <w:t>企业采购</w:t>
      </w:r>
      <w:r>
        <w:rPr>
          <w:b/>
          <w:color w:val="auto"/>
        </w:rPr>
        <w:t>合同专用条款】</w:t>
      </w:r>
      <w:r>
        <w:rPr>
          <w:color w:val="auto"/>
        </w:rPr>
        <w:t>要求及时修理、重作、更换，并承担由此给甲方造成的损失。</w:t>
      </w:r>
    </w:p>
    <w:p w14:paraId="2BCCBF15">
      <w:pPr>
        <w:pStyle w:val="26"/>
        <w:jc w:val="left"/>
        <w:rPr>
          <w:color w:val="auto"/>
        </w:rPr>
      </w:pPr>
      <w:r>
        <w:rPr>
          <w:color w:val="auto"/>
        </w:rPr>
        <w:t>15.2 迟延交货的违约责任</w:t>
      </w:r>
    </w:p>
    <w:p w14:paraId="12427B71">
      <w:pPr>
        <w:pStyle w:val="26"/>
        <w:jc w:val="left"/>
        <w:rPr>
          <w:color w:val="auto"/>
        </w:rPr>
      </w:pPr>
      <w:r>
        <w:rPr>
          <w:color w:val="auto"/>
        </w:rPr>
        <w:t>（1）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w:t>
      </w:r>
    </w:p>
    <w:p w14:paraId="357A2737">
      <w:pPr>
        <w:pStyle w:val="26"/>
        <w:jc w:val="left"/>
        <w:rPr>
          <w:color w:val="auto"/>
        </w:rPr>
      </w:pPr>
      <w:r>
        <w:rPr>
          <w:color w:val="auto"/>
        </w:rPr>
        <w:t>（2）如果乙方没有按照合同规定的时间交货和提供相关服务，甲方有权从货款中扣除误期赔偿费而不影响合同项下的其他补救方法，赔偿费按</w:t>
      </w:r>
      <w:r>
        <w:rPr>
          <w:b/>
          <w:color w:val="auto"/>
        </w:rPr>
        <w:t>【</w:t>
      </w:r>
      <w:r>
        <w:rPr>
          <w:rFonts w:hint="eastAsia"/>
          <w:b/>
          <w:color w:val="auto"/>
          <w:lang w:eastAsia="zh-CN"/>
        </w:rPr>
        <w:t>企业采购</w:t>
      </w:r>
      <w:r>
        <w:rPr>
          <w:b/>
          <w:color w:val="auto"/>
        </w:rPr>
        <w:t>合同专用条款】</w:t>
      </w:r>
      <w:r>
        <w:rPr>
          <w:color w:val="auto"/>
        </w:rPr>
        <w:t>规定执行。如果涉及公共利益，且赔偿金额无法弥补公共利益损失，甲方可要求继续履行或者采取其他补救措施。</w:t>
      </w:r>
    </w:p>
    <w:p w14:paraId="0D9A0161">
      <w:pPr>
        <w:pStyle w:val="26"/>
        <w:jc w:val="left"/>
        <w:rPr>
          <w:color w:val="auto"/>
        </w:rPr>
      </w:pPr>
      <w:r>
        <w:rPr>
          <w:color w:val="auto"/>
        </w:rPr>
        <w:t>15.3 迟延支付的违约责任</w:t>
      </w:r>
    </w:p>
    <w:p w14:paraId="75617CF0">
      <w:pPr>
        <w:pStyle w:val="26"/>
        <w:jc w:val="left"/>
        <w:rPr>
          <w:color w:val="auto"/>
        </w:rPr>
      </w:pPr>
      <w:r>
        <w:rPr>
          <w:color w:val="auto"/>
        </w:rPr>
        <w:t>甲方存在迟延支付乙方合同款项的，应当承担</w:t>
      </w:r>
      <w:r>
        <w:rPr>
          <w:b/>
          <w:color w:val="auto"/>
        </w:rPr>
        <w:t>【</w:t>
      </w:r>
      <w:r>
        <w:rPr>
          <w:rFonts w:hint="eastAsia"/>
          <w:b/>
          <w:color w:val="auto"/>
          <w:lang w:eastAsia="zh-CN"/>
        </w:rPr>
        <w:t>企业采购</w:t>
      </w:r>
      <w:r>
        <w:rPr>
          <w:b/>
          <w:color w:val="auto"/>
        </w:rPr>
        <w:t>合同专用条款】</w:t>
      </w:r>
      <w:r>
        <w:rPr>
          <w:color w:val="auto"/>
        </w:rPr>
        <w:t>规定的逾期付款利息。</w:t>
      </w:r>
    </w:p>
    <w:p w14:paraId="4D18D0F4">
      <w:pPr>
        <w:pStyle w:val="26"/>
        <w:jc w:val="left"/>
        <w:rPr>
          <w:color w:val="auto"/>
        </w:rPr>
      </w:pPr>
      <w:r>
        <w:rPr>
          <w:color w:val="auto"/>
        </w:rPr>
        <w:t>15.4其他违约责任根据项目实际需要按</w:t>
      </w:r>
      <w:r>
        <w:rPr>
          <w:b/>
          <w:color w:val="auto"/>
        </w:rPr>
        <w:t>【</w:t>
      </w:r>
      <w:r>
        <w:rPr>
          <w:rFonts w:hint="eastAsia"/>
          <w:b/>
          <w:color w:val="auto"/>
          <w:lang w:eastAsia="zh-CN"/>
        </w:rPr>
        <w:t>企业采购</w:t>
      </w:r>
      <w:r>
        <w:rPr>
          <w:b/>
          <w:color w:val="auto"/>
        </w:rPr>
        <w:t>合同专用条款】</w:t>
      </w:r>
      <w:r>
        <w:rPr>
          <w:color w:val="auto"/>
        </w:rPr>
        <w:t>规定执行。</w:t>
      </w:r>
    </w:p>
    <w:p w14:paraId="267203BE">
      <w:pPr>
        <w:pStyle w:val="26"/>
        <w:jc w:val="left"/>
        <w:outlineLvl w:val="2"/>
        <w:rPr>
          <w:color w:val="auto"/>
        </w:rPr>
      </w:pPr>
      <w:r>
        <w:rPr>
          <w:b/>
          <w:color w:val="auto"/>
          <w:sz w:val="28"/>
        </w:rPr>
        <w:t>16.合同变更、中止与终止</w:t>
      </w:r>
    </w:p>
    <w:p w14:paraId="7E43A169">
      <w:pPr>
        <w:pStyle w:val="26"/>
        <w:jc w:val="left"/>
        <w:rPr>
          <w:color w:val="auto"/>
        </w:rPr>
      </w:pPr>
      <w:r>
        <w:rPr>
          <w:color w:val="auto"/>
        </w:rPr>
        <w:t xml:space="preserve"> 16.1合同的变更</w:t>
      </w:r>
    </w:p>
    <w:p w14:paraId="27DDD016">
      <w:pPr>
        <w:pStyle w:val="26"/>
        <w:jc w:val="left"/>
        <w:rPr>
          <w:color w:val="auto"/>
        </w:rPr>
      </w:pPr>
      <w:r>
        <w:rPr>
          <w:rFonts w:hint="eastAsia"/>
          <w:color w:val="auto"/>
          <w:lang w:eastAsia="zh-CN"/>
        </w:rPr>
        <w:t>企业采购</w:t>
      </w:r>
      <w:r>
        <w:rPr>
          <w:color w:val="auto"/>
        </w:rPr>
        <w:t>合同履行中，在不改变合同其他条款的前提下，甲方可以在合同价款10%的范围内追加与合同标的相同的货物，并就此与乙方协商一致后签订补充协议。</w:t>
      </w:r>
    </w:p>
    <w:p w14:paraId="0FA1B3CD">
      <w:pPr>
        <w:pStyle w:val="26"/>
        <w:jc w:val="left"/>
        <w:rPr>
          <w:color w:val="auto"/>
        </w:rPr>
      </w:pPr>
      <w:r>
        <w:rPr>
          <w:color w:val="auto"/>
        </w:rPr>
        <w:t>16.2合同的中止</w:t>
      </w:r>
    </w:p>
    <w:p w14:paraId="07B96579">
      <w:pPr>
        <w:pStyle w:val="26"/>
        <w:jc w:val="left"/>
        <w:rPr>
          <w:color w:val="auto"/>
        </w:rPr>
      </w:pPr>
      <w:r>
        <w:rPr>
          <w:color w:val="auto"/>
        </w:rPr>
        <w:t>（1）合同履行过程中因供应商就采购文件、采购过程或结果提起投诉的，甲方认为有必要的，可以中止合同的履行。</w:t>
      </w:r>
    </w:p>
    <w:p w14:paraId="22F754FC">
      <w:pPr>
        <w:pStyle w:val="26"/>
        <w:jc w:val="left"/>
        <w:rPr>
          <w:color w:val="auto"/>
        </w:rPr>
      </w:pPr>
      <w:r>
        <w:rPr>
          <w:color w:val="auto"/>
        </w:rPr>
        <w:t>（2）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14:paraId="2636EE45">
      <w:pPr>
        <w:pStyle w:val="26"/>
        <w:jc w:val="left"/>
        <w:rPr>
          <w:color w:val="auto"/>
        </w:rPr>
      </w:pPr>
      <w:r>
        <w:rPr>
          <w:color w:val="auto"/>
        </w:rPr>
        <w:t>（3）乙方分立、合并或者变更住所的，应当及时以书面形式告知甲方。乙方没有及时告知甲方，致使合同履行发生困难的，甲方可以中止合同履行并要求乙方承担由此给甲方造成的损失。</w:t>
      </w:r>
    </w:p>
    <w:p w14:paraId="7787513E">
      <w:pPr>
        <w:pStyle w:val="26"/>
        <w:jc w:val="left"/>
        <w:rPr>
          <w:color w:val="auto"/>
        </w:rPr>
      </w:pPr>
      <w:r>
        <w:rPr>
          <w:color w:val="auto"/>
        </w:rPr>
        <w:t>（4）甲方不得以行政区划调整、政府换届、机构或者职能调整以及相关责任人更替为由中止合同。</w:t>
      </w:r>
    </w:p>
    <w:p w14:paraId="64BB3EFC">
      <w:pPr>
        <w:pStyle w:val="26"/>
        <w:jc w:val="left"/>
        <w:rPr>
          <w:color w:val="auto"/>
        </w:rPr>
      </w:pPr>
      <w:r>
        <w:rPr>
          <w:color w:val="auto"/>
        </w:rPr>
        <w:t>16.3合同的终止</w:t>
      </w:r>
    </w:p>
    <w:p w14:paraId="08C585D2">
      <w:pPr>
        <w:pStyle w:val="26"/>
        <w:jc w:val="left"/>
        <w:rPr>
          <w:color w:val="auto"/>
        </w:rPr>
      </w:pPr>
      <w:r>
        <w:rPr>
          <w:color w:val="auto"/>
        </w:rPr>
        <w:t>（1）合同因有效期限届满而终止；</w:t>
      </w:r>
    </w:p>
    <w:p w14:paraId="7C5022A6">
      <w:pPr>
        <w:pStyle w:val="26"/>
        <w:jc w:val="left"/>
        <w:rPr>
          <w:color w:val="auto"/>
        </w:rPr>
      </w:pPr>
      <w:r>
        <w:rPr>
          <w:color w:val="auto"/>
        </w:rPr>
        <w:t>（2）乙方未按合同约定履行，构成根本性违约的，甲方有权终止合同，并追究乙方的违约责任。</w:t>
      </w:r>
    </w:p>
    <w:p w14:paraId="7A9EF961">
      <w:pPr>
        <w:pStyle w:val="26"/>
        <w:jc w:val="left"/>
        <w:rPr>
          <w:color w:val="auto"/>
        </w:rPr>
      </w:pPr>
      <w:r>
        <w:rPr>
          <w:color w:val="auto"/>
        </w:rPr>
        <w:t>16.4 涉及国家利益、社会公共利益的情形</w:t>
      </w:r>
    </w:p>
    <w:p w14:paraId="127C2385">
      <w:pPr>
        <w:pStyle w:val="26"/>
        <w:jc w:val="left"/>
        <w:rPr>
          <w:color w:val="auto"/>
        </w:rPr>
      </w:pPr>
      <w:r>
        <w:rPr>
          <w:rFonts w:hint="eastAsia"/>
          <w:color w:val="auto"/>
          <w:lang w:eastAsia="zh-CN"/>
        </w:rPr>
        <w:t>企业采购</w:t>
      </w:r>
      <w:r>
        <w:rPr>
          <w:color w:val="auto"/>
        </w:rPr>
        <w:t>合同继续履行将损害国家利益和社会公共利益的，双方当事人应当变更、中止或者终止合同。有过错的一方应当承担赔偿责任，双方都有过错的，各自承担相应的责任。</w:t>
      </w:r>
    </w:p>
    <w:p w14:paraId="4D138734">
      <w:pPr>
        <w:pStyle w:val="26"/>
        <w:jc w:val="left"/>
        <w:outlineLvl w:val="2"/>
        <w:rPr>
          <w:color w:val="auto"/>
        </w:rPr>
      </w:pPr>
      <w:r>
        <w:rPr>
          <w:b/>
          <w:color w:val="auto"/>
          <w:sz w:val="28"/>
        </w:rPr>
        <w:t>17. 合同分包</w:t>
      </w:r>
    </w:p>
    <w:p w14:paraId="3488EA3F">
      <w:pPr>
        <w:pStyle w:val="26"/>
        <w:jc w:val="left"/>
        <w:rPr>
          <w:color w:val="auto"/>
        </w:rPr>
      </w:pPr>
      <w:r>
        <w:rPr>
          <w:color w:val="auto"/>
        </w:rPr>
        <w:t>17.1 乙方不得将合同转包给其他供应商。涉及合同分包的，乙方应根据采购文件和投标（响应）文件规定进行合同分包。</w:t>
      </w:r>
    </w:p>
    <w:p w14:paraId="3879E39C">
      <w:pPr>
        <w:pStyle w:val="26"/>
        <w:jc w:val="left"/>
        <w:rPr>
          <w:color w:val="auto"/>
        </w:rPr>
      </w:pPr>
      <w:r>
        <w:rPr>
          <w:color w:val="auto"/>
        </w:rPr>
        <w:t>17.2 乙方执行政府采购政策向中小企业依法分包的，乙方应当按采购文件和投标（响应）文件签订分包意向协议，分包意向协议属于本合同组成部分。</w:t>
      </w:r>
    </w:p>
    <w:p w14:paraId="739DD2FB">
      <w:pPr>
        <w:pStyle w:val="26"/>
        <w:jc w:val="left"/>
        <w:outlineLvl w:val="2"/>
        <w:rPr>
          <w:color w:val="auto"/>
        </w:rPr>
      </w:pPr>
      <w:r>
        <w:rPr>
          <w:b/>
          <w:color w:val="auto"/>
          <w:sz w:val="28"/>
        </w:rPr>
        <w:t>18. 不可抗力</w:t>
      </w:r>
    </w:p>
    <w:p w14:paraId="458E32D5">
      <w:pPr>
        <w:pStyle w:val="26"/>
        <w:jc w:val="left"/>
        <w:rPr>
          <w:color w:val="auto"/>
        </w:rPr>
      </w:pPr>
      <w:r>
        <w:rPr>
          <w:color w:val="auto"/>
        </w:rPr>
        <w:t>18.1 不可抗力是指合同双方不能预见、不能避免且不能克服的客观情况。</w:t>
      </w:r>
    </w:p>
    <w:p w14:paraId="74D26813">
      <w:pPr>
        <w:pStyle w:val="26"/>
        <w:jc w:val="left"/>
        <w:rPr>
          <w:color w:val="auto"/>
        </w:rPr>
      </w:pPr>
      <w:r>
        <w:rPr>
          <w:color w:val="auto"/>
        </w:rPr>
        <w:t>18.2 任何一方对由于不可抗力造成的部分或全部不能履行合同不承担违约责任。但迟延履行后发生不可抗力的，不能免除责任。</w:t>
      </w:r>
    </w:p>
    <w:p w14:paraId="13033DB5">
      <w:pPr>
        <w:pStyle w:val="26"/>
        <w:jc w:val="left"/>
        <w:rPr>
          <w:color w:val="auto"/>
        </w:rPr>
      </w:pPr>
      <w:r>
        <w:rPr>
          <w:color w:val="auto"/>
        </w:rPr>
        <w:t>18.3 遇有不可抗力的一方，应及时将事件情况以书面形式告知另一方，并在事件发生后及时向另一方提交合同不能履行或部分不能履行或需要延期履行的详细报告，以及证明不可抗力发生及其持续时间的证据。</w:t>
      </w:r>
    </w:p>
    <w:p w14:paraId="1EF057D5">
      <w:pPr>
        <w:pStyle w:val="26"/>
        <w:jc w:val="left"/>
        <w:outlineLvl w:val="2"/>
        <w:rPr>
          <w:color w:val="auto"/>
        </w:rPr>
      </w:pPr>
      <w:r>
        <w:rPr>
          <w:b/>
          <w:color w:val="auto"/>
          <w:sz w:val="28"/>
        </w:rPr>
        <w:t>19. 解决争议的方法</w:t>
      </w:r>
    </w:p>
    <w:p w14:paraId="469896D4">
      <w:pPr>
        <w:pStyle w:val="26"/>
        <w:jc w:val="left"/>
        <w:rPr>
          <w:color w:val="auto"/>
        </w:rPr>
      </w:pPr>
      <w:r>
        <w:rPr>
          <w:color w:val="auto"/>
        </w:rPr>
        <w:t>19.1 因本合同及合同有关事项发生的争议，由甲乙双方友好协商解决。协商不成时，可以向有关组织申请调解。合同一方或双方不愿调解或调解不成的，可以通过仲裁或诉讼的方式解决争议。</w:t>
      </w:r>
    </w:p>
    <w:p w14:paraId="0E5700B8">
      <w:pPr>
        <w:pStyle w:val="26"/>
        <w:jc w:val="left"/>
        <w:rPr>
          <w:color w:val="auto"/>
        </w:rPr>
      </w:pPr>
      <w:r>
        <w:rPr>
          <w:color w:val="auto"/>
        </w:rPr>
        <w:t>19.2 选择仲裁的，应在</w:t>
      </w:r>
      <w:r>
        <w:rPr>
          <w:b/>
          <w:color w:val="auto"/>
        </w:rPr>
        <w:t>【</w:t>
      </w:r>
      <w:r>
        <w:rPr>
          <w:rFonts w:hint="eastAsia"/>
          <w:b/>
          <w:color w:val="auto"/>
          <w:lang w:eastAsia="zh-CN"/>
        </w:rPr>
        <w:t>企业采购</w:t>
      </w:r>
      <w:r>
        <w:rPr>
          <w:b/>
          <w:color w:val="auto"/>
        </w:rPr>
        <w:t>合同专用条款】</w:t>
      </w:r>
      <w:r>
        <w:rPr>
          <w:color w:val="auto"/>
        </w:rPr>
        <w:t>中明确仲裁机构及仲裁地；通过诉讼方式解决的，可以在</w:t>
      </w:r>
      <w:r>
        <w:rPr>
          <w:b/>
          <w:color w:val="auto"/>
        </w:rPr>
        <w:t>【</w:t>
      </w:r>
      <w:r>
        <w:rPr>
          <w:rFonts w:hint="eastAsia"/>
          <w:b/>
          <w:color w:val="auto"/>
          <w:lang w:eastAsia="zh-CN"/>
        </w:rPr>
        <w:t>企业采购</w:t>
      </w:r>
      <w:r>
        <w:rPr>
          <w:b/>
          <w:color w:val="auto"/>
        </w:rPr>
        <w:t>合同专用条款】</w:t>
      </w:r>
      <w:r>
        <w:rPr>
          <w:color w:val="auto"/>
        </w:rPr>
        <w:t>中进一步约定选择与争议有实际联系的地点的人民法院管辖，但管辖法院的约定不得违反级别管辖和专属管辖的规定。</w:t>
      </w:r>
    </w:p>
    <w:p w14:paraId="679F6483">
      <w:pPr>
        <w:pStyle w:val="26"/>
        <w:jc w:val="left"/>
        <w:rPr>
          <w:color w:val="auto"/>
        </w:rPr>
      </w:pPr>
      <w:r>
        <w:rPr>
          <w:color w:val="auto"/>
        </w:rPr>
        <w:t>19.3 如甲乙双方有争议的事项不影响合同其他部分的履行，在争议解决期间，合同其他部分应当继续履行。</w:t>
      </w:r>
    </w:p>
    <w:p w14:paraId="6D22D8D2">
      <w:pPr>
        <w:pStyle w:val="26"/>
        <w:jc w:val="left"/>
        <w:outlineLvl w:val="2"/>
        <w:rPr>
          <w:color w:val="auto"/>
        </w:rPr>
      </w:pPr>
      <w:r>
        <w:rPr>
          <w:b/>
          <w:color w:val="auto"/>
          <w:sz w:val="28"/>
        </w:rPr>
        <w:t xml:space="preserve">20. </w:t>
      </w:r>
      <w:r>
        <w:rPr>
          <w:rFonts w:hint="eastAsia"/>
          <w:b/>
          <w:color w:val="auto"/>
          <w:sz w:val="28"/>
          <w:lang w:eastAsia="zh-CN"/>
        </w:rPr>
        <w:t>企业采购</w:t>
      </w:r>
      <w:r>
        <w:rPr>
          <w:b/>
          <w:color w:val="auto"/>
          <w:sz w:val="28"/>
        </w:rPr>
        <w:t>政策</w:t>
      </w:r>
    </w:p>
    <w:p w14:paraId="565B3788">
      <w:pPr>
        <w:pStyle w:val="26"/>
        <w:jc w:val="left"/>
        <w:rPr>
          <w:color w:val="auto"/>
        </w:rPr>
      </w:pPr>
      <w:r>
        <w:rPr>
          <w:color w:val="auto"/>
        </w:rPr>
        <w:t>20.1 本合同应当按照规定执行政府采购政策。</w:t>
      </w:r>
    </w:p>
    <w:p w14:paraId="2F08B387">
      <w:pPr>
        <w:pStyle w:val="26"/>
        <w:jc w:val="left"/>
        <w:rPr>
          <w:color w:val="auto"/>
        </w:rPr>
      </w:pPr>
      <w:r>
        <w:rPr>
          <w:color w:val="auto"/>
        </w:rPr>
        <w:t>20.2 本合同依法执行政府采购政策的方式和内容，属于合同履约验收的范围。甲乙双方未按规定要求执行政府采购政策造成损失的，有过错的一方应当承担赔偿责任，双方都有过错的，各自承担相应的责任。</w:t>
      </w:r>
    </w:p>
    <w:p w14:paraId="533AAAEF">
      <w:pPr>
        <w:pStyle w:val="26"/>
        <w:jc w:val="left"/>
        <w:rPr>
          <w:color w:val="auto"/>
        </w:rPr>
      </w:pPr>
      <w:r>
        <w:rPr>
          <w:color w:val="auto"/>
        </w:rPr>
        <w:t>20.3 对于为落实中小企业支持政策，通过采购项目整体预留、设置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14:paraId="7DCEA673">
      <w:pPr>
        <w:pStyle w:val="26"/>
        <w:jc w:val="left"/>
        <w:outlineLvl w:val="2"/>
        <w:rPr>
          <w:color w:val="auto"/>
        </w:rPr>
      </w:pPr>
      <w:r>
        <w:rPr>
          <w:b/>
          <w:color w:val="auto"/>
          <w:sz w:val="28"/>
        </w:rPr>
        <w:t>21. 法律适用</w:t>
      </w:r>
    </w:p>
    <w:p w14:paraId="6B8A1CF0">
      <w:pPr>
        <w:pStyle w:val="26"/>
        <w:jc w:val="left"/>
        <w:rPr>
          <w:color w:val="auto"/>
        </w:rPr>
      </w:pPr>
      <w:r>
        <w:rPr>
          <w:color w:val="auto"/>
        </w:rPr>
        <w:t>21.1 本合同的订立、生效、解释、履行及与本合同有关的争议解决，均适用法律、行政法规。</w:t>
      </w:r>
    </w:p>
    <w:p w14:paraId="4A3D7168">
      <w:pPr>
        <w:pStyle w:val="26"/>
        <w:jc w:val="left"/>
        <w:rPr>
          <w:color w:val="auto"/>
        </w:rPr>
      </w:pPr>
      <w:r>
        <w:rPr>
          <w:color w:val="auto"/>
        </w:rPr>
        <w:t>21.2 本合同条款与法律、行政法规的强制性规定不一致的，双方当事人应按照法律、行政法规的强制性规定修改本合同的相关条款。</w:t>
      </w:r>
    </w:p>
    <w:p w14:paraId="605D87C8">
      <w:pPr>
        <w:pStyle w:val="26"/>
        <w:jc w:val="left"/>
        <w:outlineLvl w:val="2"/>
        <w:rPr>
          <w:color w:val="auto"/>
        </w:rPr>
      </w:pPr>
      <w:r>
        <w:rPr>
          <w:b/>
          <w:color w:val="auto"/>
          <w:sz w:val="28"/>
        </w:rPr>
        <w:t>22. 通知</w:t>
      </w:r>
    </w:p>
    <w:p w14:paraId="64D715BE">
      <w:pPr>
        <w:pStyle w:val="26"/>
        <w:jc w:val="left"/>
        <w:rPr>
          <w:color w:val="auto"/>
        </w:rPr>
      </w:pPr>
      <w:r>
        <w:rPr>
          <w:color w:val="auto"/>
        </w:rPr>
        <w:t>22.1 本合同任何一方向对方发出的通知、信件、数据电文等，应当发送至本合同第一部分《</w:t>
      </w:r>
      <w:r>
        <w:rPr>
          <w:rFonts w:hint="eastAsia"/>
          <w:color w:val="auto"/>
          <w:lang w:eastAsia="zh-CN"/>
        </w:rPr>
        <w:t>企业采购</w:t>
      </w:r>
      <w:r>
        <w:rPr>
          <w:color w:val="auto"/>
        </w:rPr>
        <w:t>合同协议书》所约定的通讯地址、联系人、联系电话或电子邮箱。</w:t>
      </w:r>
    </w:p>
    <w:p w14:paraId="3AD72BCE">
      <w:pPr>
        <w:pStyle w:val="26"/>
        <w:jc w:val="left"/>
        <w:rPr>
          <w:color w:val="auto"/>
        </w:rPr>
      </w:pPr>
      <w:r>
        <w:rPr>
          <w:color w:val="auto"/>
        </w:rPr>
        <w:t xml:space="preserve"> 22.2 一方当事人变更名称、住所、联系人、联系电话或电子邮箱等信息的，应当在变更后3日内及时书面通知对方，对方实际收到变更通知前的送达仍为有效送达。</w:t>
      </w:r>
    </w:p>
    <w:p w14:paraId="6896F91E">
      <w:pPr>
        <w:pStyle w:val="26"/>
        <w:jc w:val="left"/>
        <w:rPr>
          <w:color w:val="auto"/>
        </w:rPr>
      </w:pPr>
      <w:r>
        <w:rPr>
          <w:color w:val="auto"/>
        </w:rPr>
        <w:t>22.3本合同一方给另一方的通知均应采用书面形式，传真或快递送到本合同中规定的对方的地址和办理签收手续。</w:t>
      </w:r>
    </w:p>
    <w:p w14:paraId="2F2CFDC2">
      <w:pPr>
        <w:pStyle w:val="26"/>
        <w:jc w:val="left"/>
        <w:rPr>
          <w:color w:val="auto"/>
        </w:rPr>
      </w:pPr>
      <w:r>
        <w:rPr>
          <w:color w:val="auto"/>
        </w:rPr>
        <w:t>22.4通知以送达之日或通知书中规定的生效之日起生效，两者中以较迟之日为准。</w:t>
      </w:r>
    </w:p>
    <w:p w14:paraId="44F215D1">
      <w:pPr>
        <w:pStyle w:val="26"/>
        <w:jc w:val="left"/>
        <w:outlineLvl w:val="2"/>
        <w:rPr>
          <w:color w:val="auto"/>
        </w:rPr>
      </w:pPr>
      <w:r>
        <w:rPr>
          <w:b/>
          <w:color w:val="auto"/>
          <w:sz w:val="28"/>
        </w:rPr>
        <w:t>23.合同未尽事项</w:t>
      </w:r>
    </w:p>
    <w:p w14:paraId="24E18C80">
      <w:pPr>
        <w:pStyle w:val="26"/>
        <w:jc w:val="left"/>
        <w:rPr>
          <w:color w:val="auto"/>
        </w:rPr>
      </w:pPr>
      <w:r>
        <w:rPr>
          <w:color w:val="auto"/>
        </w:rPr>
        <w:t>23.1合同未尽事项见</w:t>
      </w:r>
      <w:r>
        <w:rPr>
          <w:b/>
          <w:color w:val="auto"/>
        </w:rPr>
        <w:t>【</w:t>
      </w:r>
      <w:r>
        <w:rPr>
          <w:rFonts w:hint="eastAsia"/>
          <w:b/>
          <w:color w:val="auto"/>
          <w:lang w:eastAsia="zh-CN"/>
        </w:rPr>
        <w:t>企业采购</w:t>
      </w:r>
      <w:r>
        <w:rPr>
          <w:b/>
          <w:color w:val="auto"/>
        </w:rPr>
        <w:t>合同专用条款】</w:t>
      </w:r>
      <w:r>
        <w:rPr>
          <w:color w:val="auto"/>
        </w:rPr>
        <w:t>。</w:t>
      </w:r>
    </w:p>
    <w:p w14:paraId="4EBE4BD1">
      <w:pPr>
        <w:pStyle w:val="26"/>
        <w:jc w:val="left"/>
        <w:rPr>
          <w:color w:val="auto"/>
        </w:rPr>
      </w:pPr>
      <w:r>
        <w:rPr>
          <w:color w:val="auto"/>
        </w:rPr>
        <w:t xml:space="preserve"> 23.2 合同附件与合同正文具有同等的法律效力。</w:t>
      </w:r>
    </w:p>
    <w:p w14:paraId="3EDB7F41">
      <w:pPr>
        <w:pStyle w:val="26"/>
        <w:jc w:val="center"/>
        <w:outlineLvl w:val="2"/>
        <w:rPr>
          <w:color w:val="auto"/>
        </w:rPr>
      </w:pPr>
      <w:r>
        <w:rPr>
          <w:b/>
          <w:color w:val="auto"/>
          <w:sz w:val="28"/>
        </w:rPr>
        <w:t xml:space="preserve">第三节 </w:t>
      </w:r>
      <w:r>
        <w:rPr>
          <w:rFonts w:hint="eastAsia"/>
          <w:b/>
          <w:color w:val="auto"/>
          <w:sz w:val="28"/>
          <w:lang w:eastAsia="zh-CN"/>
        </w:rPr>
        <w:t>企业采购</w:t>
      </w:r>
      <w:r>
        <w:rPr>
          <w:b/>
          <w:color w:val="auto"/>
          <w:sz w:val="28"/>
        </w:rPr>
        <w:t>合同专用条款</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858"/>
        <w:gridCol w:w="1365"/>
        <w:gridCol w:w="6300"/>
      </w:tblGrid>
      <w:tr w14:paraId="78EE4E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45DFCA42">
            <w:pPr>
              <w:pStyle w:val="26"/>
              <w:jc w:val="left"/>
              <w:rPr>
                <w:color w:val="auto"/>
              </w:rPr>
            </w:pPr>
            <w:r>
              <w:rPr>
                <w:color w:val="auto"/>
              </w:rPr>
              <w:t>第二节 第1.2（6）项</w:t>
            </w:r>
          </w:p>
        </w:tc>
        <w:tc>
          <w:tcPr>
            <w:tcW w:w="1365" w:type="dxa"/>
          </w:tcPr>
          <w:p w14:paraId="66E3B656">
            <w:pPr>
              <w:pStyle w:val="26"/>
              <w:jc w:val="left"/>
              <w:rPr>
                <w:color w:val="auto"/>
              </w:rPr>
            </w:pPr>
            <w:r>
              <w:rPr>
                <w:color w:val="auto"/>
              </w:rPr>
              <w:t>联合体具体要求</w:t>
            </w:r>
          </w:p>
        </w:tc>
        <w:tc>
          <w:tcPr>
            <w:tcW w:w="6300" w:type="dxa"/>
          </w:tcPr>
          <w:p w14:paraId="028B78E4">
            <w:pPr>
              <w:pStyle w:val="26"/>
              <w:jc w:val="left"/>
              <w:rPr>
                <w:rFonts w:hint="eastAsia" w:eastAsiaTheme="minorEastAsia"/>
                <w:color w:val="auto"/>
                <w:lang w:eastAsia="zh-CN"/>
              </w:rPr>
            </w:pPr>
            <w:r>
              <w:rPr>
                <w:rFonts w:hint="eastAsia"/>
                <w:color w:val="auto"/>
                <w:lang w:eastAsia="zh-CN"/>
              </w:rPr>
              <w:t>本项目不接受</w:t>
            </w:r>
            <w:r>
              <w:rPr>
                <w:color w:val="auto"/>
              </w:rPr>
              <w:t>联合体</w:t>
            </w:r>
          </w:p>
        </w:tc>
      </w:tr>
      <w:tr w14:paraId="1CD813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6C82EB70">
            <w:pPr>
              <w:pStyle w:val="26"/>
              <w:jc w:val="left"/>
              <w:rPr>
                <w:color w:val="auto"/>
              </w:rPr>
            </w:pPr>
            <w:r>
              <w:rPr>
                <w:color w:val="auto"/>
              </w:rPr>
              <w:t>第二节 第1.2（7）项</w:t>
            </w:r>
          </w:p>
        </w:tc>
        <w:tc>
          <w:tcPr>
            <w:tcW w:w="1365" w:type="dxa"/>
          </w:tcPr>
          <w:p w14:paraId="1DE7203D">
            <w:pPr>
              <w:pStyle w:val="26"/>
              <w:jc w:val="left"/>
              <w:rPr>
                <w:color w:val="auto"/>
              </w:rPr>
            </w:pPr>
            <w:r>
              <w:rPr>
                <w:color w:val="auto"/>
              </w:rPr>
              <w:t>其他术语解释</w:t>
            </w:r>
          </w:p>
        </w:tc>
        <w:tc>
          <w:tcPr>
            <w:tcW w:w="6300" w:type="dxa"/>
          </w:tcPr>
          <w:p w14:paraId="08AF6AE5">
            <w:pPr>
              <w:pStyle w:val="26"/>
              <w:jc w:val="left"/>
              <w:rPr>
                <w:rFonts w:hint="eastAsia" w:eastAsiaTheme="minorEastAsia"/>
                <w:color w:val="auto"/>
                <w:lang w:eastAsia="zh-CN"/>
              </w:rPr>
            </w:pPr>
            <w:r>
              <w:rPr>
                <w:rFonts w:hint="eastAsia"/>
                <w:color w:val="auto"/>
                <w:lang w:eastAsia="zh-CN"/>
              </w:rPr>
              <w:t>无</w:t>
            </w:r>
          </w:p>
        </w:tc>
      </w:tr>
      <w:tr w14:paraId="1D4099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06C13B61">
            <w:pPr>
              <w:pStyle w:val="26"/>
              <w:jc w:val="left"/>
              <w:rPr>
                <w:color w:val="auto"/>
              </w:rPr>
            </w:pPr>
            <w:r>
              <w:rPr>
                <w:color w:val="auto"/>
              </w:rPr>
              <w:t>第二节 第4.4款</w:t>
            </w:r>
          </w:p>
        </w:tc>
        <w:tc>
          <w:tcPr>
            <w:tcW w:w="1365" w:type="dxa"/>
          </w:tcPr>
          <w:p w14:paraId="15982492">
            <w:pPr>
              <w:pStyle w:val="26"/>
              <w:jc w:val="left"/>
              <w:rPr>
                <w:color w:val="auto"/>
              </w:rPr>
            </w:pPr>
            <w:r>
              <w:rPr>
                <w:color w:val="auto"/>
              </w:rPr>
              <w:t>履约验收中甲方提出异议或作出说明的期限</w:t>
            </w:r>
          </w:p>
        </w:tc>
        <w:tc>
          <w:tcPr>
            <w:tcW w:w="6300" w:type="dxa"/>
          </w:tcPr>
          <w:p w14:paraId="606EABB1">
            <w:pPr>
              <w:pStyle w:val="26"/>
              <w:jc w:val="left"/>
              <w:rPr>
                <w:color w:val="auto"/>
              </w:rPr>
            </w:pPr>
            <w:r>
              <w:rPr>
                <w:rFonts w:hint="eastAsia"/>
                <w:color w:val="auto"/>
                <w:lang w:eastAsia="zh-CN"/>
              </w:rPr>
              <w:t>无</w:t>
            </w:r>
          </w:p>
        </w:tc>
      </w:tr>
      <w:tr w14:paraId="50C044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5B4D3EF3">
            <w:pPr>
              <w:pStyle w:val="26"/>
              <w:jc w:val="left"/>
              <w:rPr>
                <w:color w:val="auto"/>
              </w:rPr>
            </w:pPr>
            <w:r>
              <w:rPr>
                <w:color w:val="auto"/>
              </w:rPr>
              <w:t>第二节 第4.6款</w:t>
            </w:r>
          </w:p>
        </w:tc>
        <w:tc>
          <w:tcPr>
            <w:tcW w:w="1365" w:type="dxa"/>
          </w:tcPr>
          <w:p w14:paraId="2C7F79C7">
            <w:pPr>
              <w:pStyle w:val="26"/>
              <w:jc w:val="left"/>
              <w:rPr>
                <w:color w:val="auto"/>
              </w:rPr>
            </w:pPr>
            <w:r>
              <w:rPr>
                <w:color w:val="auto"/>
              </w:rPr>
              <w:t>约定甲方承担的其他义务和责任</w:t>
            </w:r>
          </w:p>
        </w:tc>
        <w:tc>
          <w:tcPr>
            <w:tcW w:w="6300" w:type="dxa"/>
          </w:tcPr>
          <w:p w14:paraId="144E48DE">
            <w:pPr>
              <w:pStyle w:val="26"/>
              <w:jc w:val="left"/>
              <w:rPr>
                <w:color w:val="auto"/>
              </w:rPr>
            </w:pPr>
            <w:r>
              <w:rPr>
                <w:rFonts w:hint="eastAsia"/>
                <w:color w:val="auto"/>
                <w:lang w:val="en-US" w:eastAsia="zh-CN"/>
              </w:rPr>
              <w:t>按照有关法律、法规和规章强制性规定执行</w:t>
            </w:r>
          </w:p>
        </w:tc>
      </w:tr>
      <w:tr w14:paraId="5F8C68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7B9455A6">
            <w:pPr>
              <w:pStyle w:val="26"/>
              <w:jc w:val="left"/>
              <w:rPr>
                <w:color w:val="auto"/>
              </w:rPr>
            </w:pPr>
            <w:r>
              <w:rPr>
                <w:color w:val="auto"/>
              </w:rPr>
              <w:t>第二节 第5.4款</w:t>
            </w:r>
          </w:p>
        </w:tc>
        <w:tc>
          <w:tcPr>
            <w:tcW w:w="1365" w:type="dxa"/>
          </w:tcPr>
          <w:p w14:paraId="3DE950CB">
            <w:pPr>
              <w:pStyle w:val="26"/>
              <w:jc w:val="left"/>
              <w:rPr>
                <w:color w:val="auto"/>
              </w:rPr>
            </w:pPr>
            <w:r>
              <w:rPr>
                <w:color w:val="auto"/>
              </w:rPr>
              <w:t>约定乙方承担的其他义务和责任</w:t>
            </w:r>
          </w:p>
        </w:tc>
        <w:tc>
          <w:tcPr>
            <w:tcW w:w="6300" w:type="dxa"/>
          </w:tcPr>
          <w:p w14:paraId="4F9A8FAE">
            <w:pPr>
              <w:pStyle w:val="26"/>
              <w:jc w:val="left"/>
              <w:rPr>
                <w:color w:val="auto"/>
              </w:rPr>
            </w:pPr>
            <w:r>
              <w:rPr>
                <w:rFonts w:hint="eastAsia"/>
                <w:color w:val="auto"/>
                <w:lang w:val="en-US" w:eastAsia="zh-CN"/>
              </w:rPr>
              <w:t>按照有关法律、法规和规章强制性规定执行</w:t>
            </w:r>
          </w:p>
        </w:tc>
      </w:tr>
      <w:tr w14:paraId="5E1B17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151C9C36">
            <w:pPr>
              <w:pStyle w:val="26"/>
              <w:jc w:val="left"/>
              <w:rPr>
                <w:color w:val="auto"/>
              </w:rPr>
            </w:pPr>
            <w:r>
              <w:rPr>
                <w:color w:val="auto"/>
              </w:rPr>
              <w:t>第二节 第6.1款</w:t>
            </w:r>
          </w:p>
        </w:tc>
        <w:tc>
          <w:tcPr>
            <w:tcW w:w="1365" w:type="dxa"/>
          </w:tcPr>
          <w:p w14:paraId="261A9DD5">
            <w:pPr>
              <w:pStyle w:val="26"/>
              <w:jc w:val="left"/>
              <w:rPr>
                <w:color w:val="auto"/>
              </w:rPr>
            </w:pPr>
            <w:r>
              <w:rPr>
                <w:color w:val="auto"/>
              </w:rPr>
              <w:t>履行合同义务的顺序</w:t>
            </w:r>
          </w:p>
        </w:tc>
        <w:tc>
          <w:tcPr>
            <w:tcW w:w="6300" w:type="dxa"/>
          </w:tcPr>
          <w:p w14:paraId="777EC1F5">
            <w:pPr>
              <w:pStyle w:val="26"/>
              <w:jc w:val="left"/>
              <w:rPr>
                <w:color w:val="auto"/>
              </w:rPr>
            </w:pPr>
            <w:r>
              <w:rPr>
                <w:rFonts w:hint="eastAsia"/>
                <w:color w:val="auto"/>
                <w:lang w:eastAsia="zh-CN"/>
              </w:rPr>
              <w:t>无</w:t>
            </w:r>
          </w:p>
        </w:tc>
      </w:tr>
      <w:tr w14:paraId="5B075A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vMerge w:val="restart"/>
          </w:tcPr>
          <w:p w14:paraId="54676882">
            <w:pPr>
              <w:pStyle w:val="26"/>
              <w:jc w:val="left"/>
              <w:rPr>
                <w:color w:val="auto"/>
              </w:rPr>
            </w:pPr>
            <w:r>
              <w:rPr>
                <w:color w:val="auto"/>
              </w:rPr>
              <w:t>第二节 第7.1款</w:t>
            </w:r>
          </w:p>
        </w:tc>
        <w:tc>
          <w:tcPr>
            <w:tcW w:w="1365" w:type="dxa"/>
          </w:tcPr>
          <w:p w14:paraId="5CDBD53E">
            <w:pPr>
              <w:pStyle w:val="26"/>
              <w:jc w:val="left"/>
              <w:rPr>
                <w:color w:val="auto"/>
              </w:rPr>
            </w:pPr>
            <w:r>
              <w:rPr>
                <w:color w:val="auto"/>
              </w:rPr>
              <w:t>包装特殊要求</w:t>
            </w:r>
          </w:p>
        </w:tc>
        <w:tc>
          <w:tcPr>
            <w:tcW w:w="6300" w:type="dxa"/>
          </w:tcPr>
          <w:p w14:paraId="120612CB">
            <w:pPr>
              <w:pStyle w:val="26"/>
              <w:jc w:val="left"/>
              <w:rPr>
                <w:color w:val="auto"/>
              </w:rPr>
            </w:pPr>
            <w:r>
              <w:rPr>
                <w:rFonts w:hint="eastAsia"/>
                <w:color w:val="auto"/>
                <w:lang w:eastAsia="zh-CN"/>
              </w:rPr>
              <w:t>无</w:t>
            </w:r>
          </w:p>
        </w:tc>
      </w:tr>
      <w:tr w14:paraId="78B3F5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vMerge w:val="continue"/>
          </w:tcPr>
          <w:p w14:paraId="6A047874">
            <w:pPr>
              <w:rPr>
                <w:color w:val="auto"/>
              </w:rPr>
            </w:pPr>
          </w:p>
        </w:tc>
        <w:tc>
          <w:tcPr>
            <w:tcW w:w="1365" w:type="dxa"/>
          </w:tcPr>
          <w:p w14:paraId="39A5F0E9">
            <w:pPr>
              <w:pStyle w:val="26"/>
              <w:jc w:val="left"/>
              <w:rPr>
                <w:color w:val="auto"/>
              </w:rPr>
            </w:pPr>
            <w:r>
              <w:rPr>
                <w:color w:val="auto"/>
              </w:rPr>
              <w:t>指定现场</w:t>
            </w:r>
          </w:p>
        </w:tc>
        <w:tc>
          <w:tcPr>
            <w:tcW w:w="6300" w:type="dxa"/>
          </w:tcPr>
          <w:p w14:paraId="75ED92E6">
            <w:pPr>
              <w:pStyle w:val="26"/>
              <w:jc w:val="left"/>
              <w:rPr>
                <w:color w:val="auto"/>
              </w:rPr>
            </w:pPr>
            <w:r>
              <w:rPr>
                <w:rFonts w:hint="eastAsia"/>
                <w:color w:val="auto"/>
                <w:lang w:eastAsia="zh-CN"/>
              </w:rPr>
              <w:t>无</w:t>
            </w:r>
          </w:p>
        </w:tc>
      </w:tr>
      <w:tr w14:paraId="7A3947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0B50EBDB">
            <w:pPr>
              <w:pStyle w:val="26"/>
              <w:jc w:val="left"/>
              <w:rPr>
                <w:color w:val="auto"/>
              </w:rPr>
            </w:pPr>
            <w:r>
              <w:rPr>
                <w:color w:val="auto"/>
              </w:rPr>
              <w:t>第二节 第7.2款</w:t>
            </w:r>
          </w:p>
        </w:tc>
        <w:tc>
          <w:tcPr>
            <w:tcW w:w="1365" w:type="dxa"/>
          </w:tcPr>
          <w:p w14:paraId="7A7A10F0">
            <w:pPr>
              <w:pStyle w:val="26"/>
              <w:jc w:val="left"/>
              <w:rPr>
                <w:color w:val="auto"/>
              </w:rPr>
            </w:pPr>
            <w:r>
              <w:rPr>
                <w:color w:val="auto"/>
              </w:rPr>
              <w:t>运输特殊要求</w:t>
            </w:r>
          </w:p>
        </w:tc>
        <w:tc>
          <w:tcPr>
            <w:tcW w:w="6300" w:type="dxa"/>
          </w:tcPr>
          <w:p w14:paraId="2D26D402">
            <w:pPr>
              <w:pStyle w:val="26"/>
              <w:jc w:val="left"/>
              <w:rPr>
                <w:color w:val="auto"/>
              </w:rPr>
            </w:pPr>
            <w:r>
              <w:rPr>
                <w:rFonts w:hint="eastAsia"/>
                <w:color w:val="auto"/>
                <w:lang w:eastAsia="zh-CN"/>
              </w:rPr>
              <w:t>无</w:t>
            </w:r>
          </w:p>
        </w:tc>
      </w:tr>
      <w:tr w14:paraId="793F69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3777D5DE">
            <w:pPr>
              <w:pStyle w:val="26"/>
              <w:jc w:val="left"/>
              <w:rPr>
                <w:color w:val="auto"/>
              </w:rPr>
            </w:pPr>
            <w:r>
              <w:rPr>
                <w:color w:val="auto"/>
              </w:rPr>
              <w:t>第二节 第7.3款</w:t>
            </w:r>
          </w:p>
        </w:tc>
        <w:tc>
          <w:tcPr>
            <w:tcW w:w="1365" w:type="dxa"/>
          </w:tcPr>
          <w:p w14:paraId="36493128">
            <w:pPr>
              <w:pStyle w:val="26"/>
              <w:jc w:val="left"/>
              <w:rPr>
                <w:color w:val="auto"/>
              </w:rPr>
            </w:pPr>
            <w:r>
              <w:rPr>
                <w:color w:val="auto"/>
              </w:rPr>
              <w:t>保险要求</w:t>
            </w:r>
          </w:p>
        </w:tc>
        <w:tc>
          <w:tcPr>
            <w:tcW w:w="6300" w:type="dxa"/>
          </w:tcPr>
          <w:p w14:paraId="62DB7104">
            <w:pPr>
              <w:pStyle w:val="26"/>
              <w:jc w:val="left"/>
              <w:rPr>
                <w:color w:val="auto"/>
              </w:rPr>
            </w:pPr>
            <w:r>
              <w:rPr>
                <w:rFonts w:hint="eastAsia"/>
                <w:color w:val="auto"/>
                <w:lang w:eastAsia="zh-CN"/>
              </w:rPr>
              <w:t>无</w:t>
            </w:r>
          </w:p>
        </w:tc>
      </w:tr>
      <w:tr w14:paraId="1FC193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6473D905">
            <w:pPr>
              <w:pStyle w:val="26"/>
              <w:jc w:val="left"/>
              <w:rPr>
                <w:color w:val="auto"/>
              </w:rPr>
            </w:pPr>
            <w:r>
              <w:rPr>
                <w:color w:val="auto"/>
              </w:rPr>
              <w:t>第二节 第8.2（1）项</w:t>
            </w:r>
          </w:p>
        </w:tc>
        <w:tc>
          <w:tcPr>
            <w:tcW w:w="1365" w:type="dxa"/>
          </w:tcPr>
          <w:p w14:paraId="581AA94C">
            <w:pPr>
              <w:pStyle w:val="26"/>
              <w:jc w:val="left"/>
              <w:rPr>
                <w:color w:val="auto"/>
              </w:rPr>
            </w:pPr>
            <w:r>
              <w:rPr>
                <w:color w:val="auto"/>
              </w:rPr>
              <w:t>质量保证期</w:t>
            </w:r>
          </w:p>
        </w:tc>
        <w:tc>
          <w:tcPr>
            <w:tcW w:w="6300" w:type="dxa"/>
          </w:tcPr>
          <w:p w14:paraId="175286D9">
            <w:pPr>
              <w:rPr>
                <w:color w:val="auto"/>
              </w:rPr>
            </w:pPr>
            <w:r>
              <w:rPr>
                <w:rFonts w:hint="eastAsia"/>
                <w:color w:val="auto"/>
                <w:lang w:eastAsia="zh-CN"/>
              </w:rPr>
              <w:t>采购包</w:t>
            </w:r>
            <w:r>
              <w:rPr>
                <w:rFonts w:hint="eastAsia"/>
                <w:color w:val="auto"/>
                <w:lang w:val="en-US" w:eastAsia="zh-CN"/>
              </w:rPr>
              <w:t>1和采购包2的</w:t>
            </w:r>
            <w:r>
              <w:rPr>
                <w:rFonts w:hint="eastAsia"/>
                <w:color w:val="auto"/>
              </w:rPr>
              <w:t>整车质保期为车辆登记之日起24个月或有更长的约定</w:t>
            </w:r>
            <w:r>
              <w:rPr>
                <w:rFonts w:hint="eastAsia"/>
                <w:color w:val="auto"/>
                <w:lang w:eastAsia="zh-CN"/>
              </w:rPr>
              <w:t>；</w:t>
            </w:r>
            <w:r>
              <w:rPr>
                <w:rFonts w:hint="eastAsia"/>
                <w:color w:val="auto"/>
                <w:lang w:val="en-US" w:eastAsia="zh-CN"/>
              </w:rPr>
              <w:t>其中</w:t>
            </w:r>
            <w:r>
              <w:rPr>
                <w:rFonts w:hint="eastAsia"/>
                <w:color w:val="auto"/>
                <w:lang w:eastAsia="zh-CN"/>
              </w:rPr>
              <w:t>包</w:t>
            </w:r>
            <w:r>
              <w:rPr>
                <w:rFonts w:hint="eastAsia"/>
                <w:color w:val="auto"/>
                <w:lang w:val="en-US" w:eastAsia="zh-CN"/>
              </w:rPr>
              <w:t>1：动力</w:t>
            </w:r>
            <w:r>
              <w:rPr>
                <w:rFonts w:hint="eastAsia"/>
                <w:color w:val="auto"/>
                <w:lang w:eastAsia="zh-CN"/>
              </w:rPr>
              <w:t>电池：质保</w:t>
            </w:r>
            <w:r>
              <w:rPr>
                <w:rFonts w:hint="eastAsia"/>
                <w:color w:val="auto"/>
                <w:lang w:val="en-US" w:eastAsia="zh-CN"/>
              </w:rPr>
              <w:t>10</w:t>
            </w:r>
            <w:r>
              <w:rPr>
                <w:rFonts w:hint="eastAsia"/>
                <w:color w:val="auto"/>
                <w:lang w:eastAsia="zh-CN"/>
              </w:rPr>
              <w:t>年</w:t>
            </w:r>
            <w:r>
              <w:rPr>
                <w:rFonts w:hint="eastAsia"/>
                <w:color w:val="auto"/>
                <w:lang w:val="en-US" w:eastAsia="zh-CN"/>
              </w:rPr>
              <w:t>或80万公里</w:t>
            </w:r>
            <w:r>
              <w:rPr>
                <w:rFonts w:hint="eastAsia"/>
                <w:color w:val="auto"/>
                <w:lang w:eastAsia="zh-CN"/>
              </w:rPr>
              <w:t>，</w:t>
            </w:r>
            <w:r>
              <w:rPr>
                <w:rFonts w:hint="eastAsia"/>
                <w:color w:val="auto"/>
                <w:lang w:val="en-US" w:eastAsia="zh-CN"/>
              </w:rPr>
              <w:t>质保期内</w:t>
            </w:r>
            <w:r>
              <w:rPr>
                <w:rFonts w:hint="eastAsia"/>
                <w:color w:val="auto"/>
                <w:lang w:eastAsia="zh-CN"/>
              </w:rPr>
              <w:t>电池若衰减大于30%，车厂必须免费更换同品牌电池，</w:t>
            </w:r>
            <w:r>
              <w:rPr>
                <w:rFonts w:hint="eastAsia"/>
                <w:color w:val="auto"/>
                <w:lang w:val="en-US" w:eastAsia="zh-CN"/>
              </w:rPr>
              <w:t>电</w:t>
            </w:r>
            <w:r>
              <w:rPr>
                <w:rFonts w:hint="eastAsia"/>
                <w:color w:val="auto"/>
                <w:lang w:eastAsia="zh-CN"/>
              </w:rPr>
              <w:t>控系统、电机、转向机、</w:t>
            </w:r>
            <w:r>
              <w:rPr>
                <w:rFonts w:hint="eastAsia"/>
                <w:color w:val="auto"/>
                <w:lang w:val="en-US" w:eastAsia="zh-CN"/>
              </w:rPr>
              <w:t>轴荷、</w:t>
            </w:r>
            <w:r>
              <w:rPr>
                <w:rFonts w:hint="eastAsia"/>
                <w:color w:val="auto"/>
                <w:lang w:eastAsia="zh-CN"/>
              </w:rPr>
              <w:t>空压机、</w:t>
            </w:r>
            <w:r>
              <w:rPr>
                <w:rFonts w:hint="eastAsia"/>
                <w:color w:val="auto"/>
                <w:lang w:val="en-US" w:eastAsia="zh-CN"/>
              </w:rPr>
              <w:t>集中润滑系统、</w:t>
            </w:r>
            <w:r>
              <w:rPr>
                <w:rFonts w:hint="eastAsia"/>
                <w:color w:val="auto"/>
                <w:lang w:eastAsia="zh-CN"/>
              </w:rPr>
              <w:t>地板、</w:t>
            </w:r>
            <w:r>
              <w:rPr>
                <w:rFonts w:hint="eastAsia"/>
                <w:color w:val="auto"/>
                <w:lang w:val="en-US" w:eastAsia="zh-CN"/>
              </w:rPr>
              <w:t>石英砂</w:t>
            </w:r>
            <w:r>
              <w:rPr>
                <w:rFonts w:hint="eastAsia"/>
                <w:color w:val="auto"/>
                <w:lang w:eastAsia="zh-CN"/>
              </w:rPr>
              <w:t>地板革</w:t>
            </w:r>
            <w:r>
              <w:rPr>
                <w:rFonts w:hint="eastAsia"/>
                <w:color w:val="auto"/>
                <w:lang w:val="en-US" w:eastAsia="zh-CN"/>
              </w:rPr>
              <w:t>的质保期为8年，空调为5年；</w:t>
            </w:r>
            <w:r>
              <w:rPr>
                <w:rFonts w:hint="eastAsia"/>
                <w:color w:val="auto"/>
                <w:lang w:eastAsia="zh-CN"/>
              </w:rPr>
              <w:t>包</w:t>
            </w:r>
            <w:r>
              <w:rPr>
                <w:rFonts w:hint="eastAsia"/>
                <w:color w:val="auto"/>
                <w:lang w:val="en-US" w:eastAsia="zh-CN"/>
              </w:rPr>
              <w:t>2：</w:t>
            </w:r>
            <w:r>
              <w:rPr>
                <w:rFonts w:hint="eastAsia"/>
                <w:color w:val="auto"/>
              </w:rPr>
              <w:t>电池质保10年</w:t>
            </w:r>
            <w:r>
              <w:rPr>
                <w:rFonts w:hint="eastAsia"/>
                <w:color w:val="auto"/>
                <w:lang w:val="en-US" w:eastAsia="zh-CN"/>
              </w:rPr>
              <w:t>或80万公里，</w:t>
            </w:r>
            <w:r>
              <w:rPr>
                <w:rFonts w:hint="eastAsia"/>
                <w:color w:val="auto"/>
              </w:rPr>
              <w:t>电机、电控</w:t>
            </w:r>
            <w:r>
              <w:rPr>
                <w:rFonts w:hint="eastAsia"/>
                <w:color w:val="auto"/>
                <w:lang w:eastAsia="zh-CN"/>
              </w:rPr>
              <w:t>、</w:t>
            </w:r>
            <w:r>
              <w:rPr>
                <w:rFonts w:hint="eastAsia"/>
                <w:color w:val="auto"/>
              </w:rPr>
              <w:t>前后桥</w:t>
            </w:r>
            <w:r>
              <w:rPr>
                <w:rFonts w:hint="eastAsia"/>
                <w:color w:val="auto"/>
                <w:lang w:eastAsia="zh-CN"/>
              </w:rPr>
              <w:t>、</w:t>
            </w:r>
            <w:r>
              <w:rPr>
                <w:rFonts w:hint="eastAsia"/>
                <w:color w:val="auto"/>
              </w:rPr>
              <w:t>转向器</w:t>
            </w:r>
            <w:r>
              <w:rPr>
                <w:rFonts w:hint="eastAsia"/>
                <w:color w:val="auto"/>
                <w:lang w:eastAsia="zh-CN"/>
              </w:rPr>
              <w:t>、</w:t>
            </w:r>
            <w:r>
              <w:rPr>
                <w:rFonts w:hint="eastAsia"/>
                <w:color w:val="auto"/>
              </w:rPr>
              <w:t>打气泵</w:t>
            </w:r>
            <w:r>
              <w:rPr>
                <w:rFonts w:hint="eastAsia"/>
                <w:color w:val="auto"/>
                <w:lang w:eastAsia="zh-CN"/>
              </w:rPr>
              <w:t>、</w:t>
            </w:r>
            <w:r>
              <w:rPr>
                <w:rFonts w:hint="eastAsia"/>
                <w:color w:val="auto"/>
                <w:lang w:val="en-US" w:eastAsia="zh-CN"/>
              </w:rPr>
              <w:t>集中润滑系统、石英砂地板革的质保期为8年，空调为5年。招标文件未约定的按国家标准执行。</w:t>
            </w:r>
          </w:p>
        </w:tc>
      </w:tr>
      <w:tr w14:paraId="66A06D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2425125B">
            <w:pPr>
              <w:pStyle w:val="26"/>
              <w:jc w:val="left"/>
              <w:rPr>
                <w:color w:val="auto"/>
              </w:rPr>
            </w:pPr>
            <w:r>
              <w:rPr>
                <w:color w:val="auto"/>
              </w:rPr>
              <w:t>第二节 第8.2（3）项</w:t>
            </w:r>
          </w:p>
        </w:tc>
        <w:tc>
          <w:tcPr>
            <w:tcW w:w="1365" w:type="dxa"/>
          </w:tcPr>
          <w:p w14:paraId="0A26227A">
            <w:pPr>
              <w:pStyle w:val="26"/>
              <w:jc w:val="left"/>
              <w:rPr>
                <w:color w:val="auto"/>
              </w:rPr>
            </w:pPr>
            <w:r>
              <w:rPr>
                <w:color w:val="auto"/>
              </w:rPr>
              <w:t>货物质量缺陷响应时间</w:t>
            </w:r>
          </w:p>
        </w:tc>
        <w:tc>
          <w:tcPr>
            <w:tcW w:w="6300" w:type="dxa"/>
          </w:tcPr>
          <w:p w14:paraId="025B8D01">
            <w:pPr>
              <w:rPr>
                <w:color w:val="auto"/>
              </w:rPr>
            </w:pPr>
            <w:r>
              <w:rPr>
                <w:color w:val="auto"/>
              </w:rPr>
              <w:t>质保期内中标人在接到买方故障通知后应在3小时内作出响应</w:t>
            </w:r>
          </w:p>
        </w:tc>
      </w:tr>
      <w:tr w14:paraId="76441B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0A6C987E">
            <w:pPr>
              <w:pStyle w:val="26"/>
              <w:jc w:val="left"/>
              <w:rPr>
                <w:color w:val="auto"/>
              </w:rPr>
            </w:pPr>
            <w:r>
              <w:rPr>
                <w:color w:val="auto"/>
              </w:rPr>
              <w:t>第二节 第11.1款</w:t>
            </w:r>
          </w:p>
        </w:tc>
        <w:tc>
          <w:tcPr>
            <w:tcW w:w="1365" w:type="dxa"/>
          </w:tcPr>
          <w:p w14:paraId="04DCBAC4">
            <w:pPr>
              <w:pStyle w:val="26"/>
              <w:jc w:val="left"/>
              <w:rPr>
                <w:color w:val="auto"/>
              </w:rPr>
            </w:pPr>
            <w:r>
              <w:rPr>
                <w:color w:val="auto"/>
              </w:rPr>
              <w:t>其他应当保密的信息</w:t>
            </w:r>
          </w:p>
        </w:tc>
        <w:tc>
          <w:tcPr>
            <w:tcW w:w="6300" w:type="dxa"/>
          </w:tcPr>
          <w:p w14:paraId="5121F344">
            <w:pPr>
              <w:rPr>
                <w:color w:val="auto"/>
              </w:rPr>
            </w:pPr>
            <w:r>
              <w:rPr>
                <w:rFonts w:hint="eastAsia"/>
                <w:color w:val="auto"/>
                <w:lang w:eastAsia="zh-CN"/>
              </w:rPr>
              <w:t>无</w:t>
            </w:r>
          </w:p>
        </w:tc>
      </w:tr>
      <w:tr w14:paraId="3E1CD5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09703144">
            <w:pPr>
              <w:pStyle w:val="26"/>
              <w:jc w:val="left"/>
              <w:rPr>
                <w:color w:val="auto"/>
              </w:rPr>
            </w:pPr>
            <w:r>
              <w:rPr>
                <w:color w:val="auto"/>
              </w:rPr>
              <w:t>第二节 第12.2款</w:t>
            </w:r>
          </w:p>
        </w:tc>
        <w:tc>
          <w:tcPr>
            <w:tcW w:w="1365" w:type="dxa"/>
          </w:tcPr>
          <w:p w14:paraId="0F648C0E">
            <w:pPr>
              <w:pStyle w:val="26"/>
              <w:jc w:val="left"/>
              <w:rPr>
                <w:color w:val="auto"/>
              </w:rPr>
            </w:pPr>
            <w:r>
              <w:rPr>
                <w:color w:val="auto"/>
              </w:rPr>
              <w:t>合同价款支付时间</w:t>
            </w:r>
          </w:p>
        </w:tc>
        <w:tc>
          <w:tcPr>
            <w:tcW w:w="6300" w:type="dxa"/>
          </w:tcPr>
          <w:p w14:paraId="38902FCA">
            <w:pPr>
              <w:rPr>
                <w:color w:val="auto"/>
              </w:rPr>
            </w:pPr>
            <w:r>
              <w:rPr>
                <w:rFonts w:hint="eastAsia"/>
                <w:color w:val="auto"/>
                <w:lang w:eastAsia="zh-CN"/>
              </w:rPr>
              <w:t>无</w:t>
            </w:r>
          </w:p>
        </w:tc>
      </w:tr>
      <w:tr w14:paraId="626FEA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3F425DEC">
            <w:pPr>
              <w:pStyle w:val="26"/>
              <w:jc w:val="left"/>
              <w:rPr>
                <w:color w:val="auto"/>
              </w:rPr>
            </w:pPr>
            <w:r>
              <w:rPr>
                <w:color w:val="auto"/>
              </w:rPr>
              <w:t>第二节 第13.2款</w:t>
            </w:r>
          </w:p>
        </w:tc>
        <w:tc>
          <w:tcPr>
            <w:tcW w:w="1365" w:type="dxa"/>
          </w:tcPr>
          <w:p w14:paraId="78550415">
            <w:pPr>
              <w:pStyle w:val="26"/>
              <w:jc w:val="left"/>
              <w:rPr>
                <w:color w:val="auto"/>
              </w:rPr>
            </w:pPr>
            <w:r>
              <w:rPr>
                <w:color w:val="auto"/>
              </w:rPr>
              <w:t>履约保证金不予退还的情形</w:t>
            </w:r>
          </w:p>
        </w:tc>
        <w:tc>
          <w:tcPr>
            <w:tcW w:w="6300" w:type="dxa"/>
          </w:tcPr>
          <w:p w14:paraId="112E207C">
            <w:pPr>
              <w:rPr>
                <w:color w:val="auto"/>
              </w:rPr>
            </w:pPr>
            <w:r>
              <w:rPr>
                <w:rFonts w:hint="eastAsia"/>
                <w:color w:val="auto"/>
                <w:lang w:eastAsia="zh-CN"/>
              </w:rPr>
              <w:t>无</w:t>
            </w:r>
          </w:p>
        </w:tc>
      </w:tr>
      <w:tr w14:paraId="2C192C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5E2A78F5">
            <w:pPr>
              <w:pStyle w:val="26"/>
              <w:jc w:val="left"/>
              <w:rPr>
                <w:color w:val="auto"/>
              </w:rPr>
            </w:pPr>
            <w:r>
              <w:rPr>
                <w:color w:val="auto"/>
              </w:rPr>
              <w:t>第二节 第13.3款</w:t>
            </w:r>
          </w:p>
        </w:tc>
        <w:tc>
          <w:tcPr>
            <w:tcW w:w="1365" w:type="dxa"/>
          </w:tcPr>
          <w:p w14:paraId="7BCD2A80">
            <w:pPr>
              <w:pStyle w:val="26"/>
              <w:jc w:val="left"/>
              <w:rPr>
                <w:color w:val="auto"/>
              </w:rPr>
            </w:pPr>
            <w:r>
              <w:rPr>
                <w:color w:val="auto"/>
              </w:rPr>
              <w:t>履约保证金退还时间及逾期退还的违约金</w:t>
            </w:r>
          </w:p>
        </w:tc>
        <w:tc>
          <w:tcPr>
            <w:tcW w:w="6300" w:type="dxa"/>
          </w:tcPr>
          <w:p w14:paraId="16A78C5E">
            <w:pPr>
              <w:rPr>
                <w:color w:val="auto"/>
              </w:rPr>
            </w:pPr>
            <w:r>
              <w:rPr>
                <w:rFonts w:hint="eastAsia"/>
                <w:color w:val="auto"/>
                <w:lang w:eastAsia="zh-CN"/>
              </w:rPr>
              <w:t>无</w:t>
            </w:r>
          </w:p>
        </w:tc>
      </w:tr>
      <w:tr w14:paraId="3E4D0F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5A7E6E1D">
            <w:pPr>
              <w:pStyle w:val="26"/>
              <w:jc w:val="left"/>
              <w:rPr>
                <w:color w:val="auto"/>
              </w:rPr>
            </w:pPr>
            <w:r>
              <w:rPr>
                <w:color w:val="auto"/>
              </w:rPr>
              <w:t>第二节 第14.1（3）项</w:t>
            </w:r>
          </w:p>
        </w:tc>
        <w:tc>
          <w:tcPr>
            <w:tcW w:w="1365" w:type="dxa"/>
          </w:tcPr>
          <w:p w14:paraId="775E79B8">
            <w:pPr>
              <w:pStyle w:val="26"/>
              <w:jc w:val="left"/>
              <w:rPr>
                <w:color w:val="auto"/>
              </w:rPr>
            </w:pPr>
            <w:r>
              <w:rPr>
                <w:color w:val="auto"/>
              </w:rPr>
              <w:t>运行监督、维修期限</w:t>
            </w:r>
          </w:p>
        </w:tc>
        <w:tc>
          <w:tcPr>
            <w:tcW w:w="6300" w:type="dxa"/>
          </w:tcPr>
          <w:p w14:paraId="7B447003">
            <w:pPr>
              <w:rPr>
                <w:color w:val="auto"/>
              </w:rPr>
            </w:pPr>
            <w:r>
              <w:rPr>
                <w:rFonts w:hint="eastAsia"/>
                <w:color w:val="auto"/>
                <w:lang w:eastAsia="zh-CN"/>
              </w:rPr>
              <w:t>无</w:t>
            </w:r>
          </w:p>
        </w:tc>
      </w:tr>
      <w:tr w14:paraId="7A19D3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56EB3ACE">
            <w:pPr>
              <w:pStyle w:val="26"/>
              <w:jc w:val="left"/>
              <w:rPr>
                <w:color w:val="auto"/>
              </w:rPr>
            </w:pPr>
            <w:r>
              <w:rPr>
                <w:color w:val="auto"/>
              </w:rPr>
              <w:t>第二节 第14.1（5）项</w:t>
            </w:r>
          </w:p>
        </w:tc>
        <w:tc>
          <w:tcPr>
            <w:tcW w:w="1365" w:type="dxa"/>
          </w:tcPr>
          <w:p w14:paraId="44B18B1E">
            <w:pPr>
              <w:pStyle w:val="26"/>
              <w:jc w:val="left"/>
              <w:rPr>
                <w:color w:val="auto"/>
              </w:rPr>
            </w:pPr>
            <w:r>
              <w:rPr>
                <w:color w:val="auto"/>
              </w:rPr>
              <w:t>货物回收的约定</w:t>
            </w:r>
          </w:p>
        </w:tc>
        <w:tc>
          <w:tcPr>
            <w:tcW w:w="6300" w:type="dxa"/>
          </w:tcPr>
          <w:p w14:paraId="364FC684">
            <w:pPr>
              <w:rPr>
                <w:color w:val="auto"/>
              </w:rPr>
            </w:pPr>
            <w:r>
              <w:rPr>
                <w:rFonts w:hint="eastAsia"/>
                <w:color w:val="auto"/>
                <w:lang w:eastAsia="zh-CN"/>
              </w:rPr>
              <w:t>无</w:t>
            </w:r>
          </w:p>
        </w:tc>
      </w:tr>
      <w:tr w14:paraId="3C7FF9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7CBA7880">
            <w:pPr>
              <w:pStyle w:val="26"/>
              <w:jc w:val="left"/>
              <w:rPr>
                <w:color w:val="auto"/>
              </w:rPr>
            </w:pPr>
            <w:r>
              <w:rPr>
                <w:color w:val="auto"/>
              </w:rPr>
              <w:t>第二节 第14.1（6）项</w:t>
            </w:r>
          </w:p>
        </w:tc>
        <w:tc>
          <w:tcPr>
            <w:tcW w:w="1365" w:type="dxa"/>
          </w:tcPr>
          <w:p w14:paraId="7C56CD58">
            <w:pPr>
              <w:pStyle w:val="26"/>
              <w:jc w:val="left"/>
              <w:rPr>
                <w:color w:val="auto"/>
              </w:rPr>
            </w:pPr>
            <w:r>
              <w:rPr>
                <w:color w:val="auto"/>
              </w:rPr>
              <w:t>乙方提供的其他服务</w:t>
            </w:r>
          </w:p>
        </w:tc>
        <w:tc>
          <w:tcPr>
            <w:tcW w:w="6300" w:type="dxa"/>
          </w:tcPr>
          <w:p w14:paraId="5040E951">
            <w:pPr>
              <w:rPr>
                <w:color w:val="auto"/>
              </w:rPr>
            </w:pPr>
            <w:r>
              <w:rPr>
                <w:rFonts w:hint="eastAsia"/>
                <w:color w:val="auto"/>
                <w:lang w:eastAsia="zh-CN"/>
              </w:rPr>
              <w:t>无</w:t>
            </w:r>
          </w:p>
        </w:tc>
      </w:tr>
      <w:tr w14:paraId="020E64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3C19D5B2">
            <w:pPr>
              <w:pStyle w:val="26"/>
              <w:jc w:val="left"/>
              <w:rPr>
                <w:color w:val="auto"/>
              </w:rPr>
            </w:pPr>
            <w:r>
              <w:rPr>
                <w:color w:val="auto"/>
              </w:rPr>
              <w:t>第二节 第15.1款</w:t>
            </w:r>
          </w:p>
        </w:tc>
        <w:tc>
          <w:tcPr>
            <w:tcW w:w="1365" w:type="dxa"/>
          </w:tcPr>
          <w:p w14:paraId="19203148">
            <w:pPr>
              <w:pStyle w:val="26"/>
              <w:jc w:val="left"/>
              <w:rPr>
                <w:color w:val="auto"/>
              </w:rPr>
            </w:pPr>
            <w:r>
              <w:rPr>
                <w:color w:val="auto"/>
              </w:rPr>
              <w:t>修理、重作、更换相关具体规定</w:t>
            </w:r>
          </w:p>
        </w:tc>
        <w:tc>
          <w:tcPr>
            <w:tcW w:w="6300" w:type="dxa"/>
          </w:tcPr>
          <w:p w14:paraId="244A23DA">
            <w:pPr>
              <w:rPr>
                <w:color w:val="auto"/>
              </w:rPr>
            </w:pPr>
            <w:r>
              <w:rPr>
                <w:rFonts w:hint="eastAsia"/>
                <w:color w:val="auto"/>
                <w:lang w:eastAsia="zh-CN"/>
              </w:rPr>
              <w:t>无</w:t>
            </w:r>
          </w:p>
        </w:tc>
      </w:tr>
      <w:tr w14:paraId="47E30A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7F8B235B">
            <w:pPr>
              <w:pStyle w:val="26"/>
              <w:jc w:val="left"/>
              <w:rPr>
                <w:color w:val="auto"/>
              </w:rPr>
            </w:pPr>
            <w:r>
              <w:rPr>
                <w:color w:val="auto"/>
              </w:rPr>
              <w:t>第二节 第15.2（2）项</w:t>
            </w:r>
          </w:p>
        </w:tc>
        <w:tc>
          <w:tcPr>
            <w:tcW w:w="1365" w:type="dxa"/>
          </w:tcPr>
          <w:p w14:paraId="33254F27">
            <w:pPr>
              <w:pStyle w:val="26"/>
              <w:jc w:val="left"/>
              <w:rPr>
                <w:color w:val="auto"/>
              </w:rPr>
            </w:pPr>
            <w:r>
              <w:rPr>
                <w:color w:val="auto"/>
              </w:rPr>
              <w:t>迟延交货赔偿费</w:t>
            </w:r>
          </w:p>
        </w:tc>
        <w:tc>
          <w:tcPr>
            <w:tcW w:w="6300" w:type="dxa"/>
          </w:tcPr>
          <w:p w14:paraId="073209FF">
            <w:pPr>
              <w:rPr>
                <w:color w:val="auto"/>
              </w:rPr>
            </w:pPr>
          </w:p>
        </w:tc>
      </w:tr>
      <w:tr w14:paraId="2561CB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5A080431">
            <w:pPr>
              <w:pStyle w:val="26"/>
              <w:jc w:val="left"/>
              <w:rPr>
                <w:color w:val="auto"/>
              </w:rPr>
            </w:pPr>
            <w:r>
              <w:rPr>
                <w:color w:val="auto"/>
              </w:rPr>
              <w:t>第二节 第15.3款</w:t>
            </w:r>
          </w:p>
        </w:tc>
        <w:tc>
          <w:tcPr>
            <w:tcW w:w="1365" w:type="dxa"/>
          </w:tcPr>
          <w:p w14:paraId="45DEB361">
            <w:pPr>
              <w:pStyle w:val="26"/>
              <w:jc w:val="left"/>
              <w:rPr>
                <w:color w:val="auto"/>
              </w:rPr>
            </w:pPr>
            <w:r>
              <w:rPr>
                <w:color w:val="auto"/>
              </w:rPr>
              <w:t>逾期付款利息</w:t>
            </w:r>
          </w:p>
        </w:tc>
        <w:tc>
          <w:tcPr>
            <w:tcW w:w="6300" w:type="dxa"/>
          </w:tcPr>
          <w:p w14:paraId="582CF661">
            <w:pPr>
              <w:rPr>
                <w:color w:val="auto"/>
              </w:rPr>
            </w:pPr>
            <w:r>
              <w:rPr>
                <w:rFonts w:hint="eastAsia"/>
                <w:color w:val="auto"/>
                <w:lang w:eastAsia="zh-CN"/>
              </w:rPr>
              <w:t>无</w:t>
            </w:r>
          </w:p>
        </w:tc>
      </w:tr>
      <w:tr w14:paraId="69FE99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7012789B">
            <w:pPr>
              <w:pStyle w:val="26"/>
              <w:jc w:val="left"/>
              <w:rPr>
                <w:color w:val="auto"/>
              </w:rPr>
            </w:pPr>
            <w:r>
              <w:rPr>
                <w:color w:val="auto"/>
              </w:rPr>
              <w:t>第二节 第15.4款</w:t>
            </w:r>
          </w:p>
        </w:tc>
        <w:tc>
          <w:tcPr>
            <w:tcW w:w="1365" w:type="dxa"/>
          </w:tcPr>
          <w:p w14:paraId="7482D769">
            <w:pPr>
              <w:pStyle w:val="26"/>
              <w:jc w:val="left"/>
              <w:rPr>
                <w:color w:val="auto"/>
              </w:rPr>
            </w:pPr>
            <w:r>
              <w:rPr>
                <w:color w:val="auto"/>
              </w:rPr>
              <w:t>其他违约责任</w:t>
            </w:r>
          </w:p>
        </w:tc>
        <w:tc>
          <w:tcPr>
            <w:tcW w:w="6300" w:type="dxa"/>
          </w:tcPr>
          <w:p w14:paraId="560274ED">
            <w:pPr>
              <w:rPr>
                <w:color w:val="auto"/>
              </w:rPr>
            </w:pPr>
            <w:r>
              <w:rPr>
                <w:rFonts w:hint="eastAsia"/>
                <w:color w:val="auto"/>
                <w:lang w:eastAsia="zh-CN"/>
              </w:rPr>
              <w:t>无</w:t>
            </w:r>
          </w:p>
        </w:tc>
      </w:tr>
      <w:tr w14:paraId="7CB851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58E4147C">
            <w:pPr>
              <w:pStyle w:val="26"/>
              <w:jc w:val="left"/>
              <w:rPr>
                <w:color w:val="auto"/>
              </w:rPr>
            </w:pPr>
            <w:r>
              <w:rPr>
                <w:color w:val="auto"/>
              </w:rPr>
              <w:t>第二节 第19.2款</w:t>
            </w:r>
          </w:p>
        </w:tc>
        <w:tc>
          <w:tcPr>
            <w:tcW w:w="1365" w:type="dxa"/>
          </w:tcPr>
          <w:p w14:paraId="05238348">
            <w:pPr>
              <w:pStyle w:val="26"/>
              <w:jc w:val="left"/>
              <w:rPr>
                <w:color w:val="auto"/>
              </w:rPr>
            </w:pPr>
            <w:r>
              <w:rPr>
                <w:color w:val="auto"/>
              </w:rPr>
              <w:t>解决争议的方法</w:t>
            </w:r>
          </w:p>
        </w:tc>
        <w:tc>
          <w:tcPr>
            <w:tcW w:w="6300" w:type="dxa"/>
          </w:tcPr>
          <w:p w14:paraId="3D3FB9D3">
            <w:pPr>
              <w:pStyle w:val="26"/>
              <w:jc w:val="left"/>
              <w:rPr>
                <w:color w:val="auto"/>
              </w:rPr>
            </w:pPr>
            <w:r>
              <w:rPr>
                <w:color w:val="auto"/>
              </w:rPr>
              <w:t xml:space="preserve"> 因本合同及合同有关事项发生的争议，按下列第_</w:t>
            </w:r>
            <w:r>
              <w:rPr>
                <w:rFonts w:hint="eastAsia"/>
                <w:color w:val="auto"/>
                <w:lang w:val="en-US" w:eastAsia="zh-CN"/>
              </w:rPr>
              <w:t>2</w:t>
            </w:r>
            <w:r>
              <w:rPr>
                <w:color w:val="auto"/>
              </w:rPr>
              <w:t>_ 种方式解决：</w:t>
            </w:r>
          </w:p>
          <w:p w14:paraId="3B95C7C7">
            <w:pPr>
              <w:pStyle w:val="26"/>
              <w:jc w:val="left"/>
              <w:rPr>
                <w:color w:val="auto"/>
              </w:rPr>
            </w:pPr>
            <w:r>
              <w:rPr>
                <w:color w:val="auto"/>
              </w:rPr>
              <w:t xml:space="preserve"> （1）向 __________________仲裁委员会申请仲裁，仲裁地点为 ____________ ；</w:t>
            </w:r>
          </w:p>
          <w:p w14:paraId="2A6B261E">
            <w:pPr>
              <w:pStyle w:val="26"/>
              <w:jc w:val="left"/>
              <w:rPr>
                <w:color w:val="auto"/>
              </w:rPr>
            </w:pPr>
            <w:r>
              <w:rPr>
                <w:color w:val="auto"/>
              </w:rPr>
              <w:t xml:space="preserve"> （2）向_</w:t>
            </w:r>
            <w:r>
              <w:rPr>
                <w:rFonts w:hint="eastAsia"/>
                <w:color w:val="auto"/>
                <w:u w:val="single"/>
              </w:rPr>
              <w:t>福安市人民法院</w:t>
            </w:r>
            <w:r>
              <w:rPr>
                <w:color w:val="auto"/>
              </w:rPr>
              <w:t>_起诉。</w:t>
            </w:r>
          </w:p>
        </w:tc>
      </w:tr>
      <w:tr w14:paraId="4C51DA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58" w:type="dxa"/>
          </w:tcPr>
          <w:p w14:paraId="43212516">
            <w:pPr>
              <w:pStyle w:val="26"/>
              <w:jc w:val="left"/>
              <w:rPr>
                <w:color w:val="auto"/>
              </w:rPr>
            </w:pPr>
            <w:r>
              <w:rPr>
                <w:color w:val="auto"/>
              </w:rPr>
              <w:t>第二节 第23.1款</w:t>
            </w:r>
          </w:p>
        </w:tc>
        <w:tc>
          <w:tcPr>
            <w:tcW w:w="1365" w:type="dxa"/>
          </w:tcPr>
          <w:p w14:paraId="2DD22B2D">
            <w:pPr>
              <w:pStyle w:val="26"/>
              <w:jc w:val="left"/>
              <w:rPr>
                <w:color w:val="auto"/>
              </w:rPr>
            </w:pPr>
            <w:r>
              <w:rPr>
                <w:color w:val="auto"/>
              </w:rPr>
              <w:t>其他专用条款</w:t>
            </w:r>
          </w:p>
        </w:tc>
        <w:tc>
          <w:tcPr>
            <w:tcW w:w="6300" w:type="dxa"/>
          </w:tcPr>
          <w:p w14:paraId="1C6FAF6B">
            <w:pPr>
              <w:rPr>
                <w:color w:val="auto"/>
              </w:rPr>
            </w:pPr>
          </w:p>
        </w:tc>
      </w:tr>
    </w:tbl>
    <w:p w14:paraId="3780B798">
      <w:pPr>
        <w:spacing w:after="0"/>
        <w:rPr>
          <w:rFonts w:hint="eastAsia" w:asciiTheme="minorEastAsia" w:hAnsiTheme="minorEastAsia" w:eastAsiaTheme="minorEastAsia" w:cstheme="minorEastAsia"/>
          <w:color w:val="auto"/>
        </w:rPr>
        <w:sectPr>
          <w:footerReference r:id="rId10" w:type="default"/>
          <w:pgSz w:w="11910" w:h="16840"/>
          <w:pgMar w:top="1460" w:right="860" w:bottom="1160" w:left="1220" w:header="0" w:footer="970" w:gutter="0"/>
          <w:pgNumType w:fmt="decimal"/>
          <w:cols w:space="720" w:num="1"/>
        </w:sectPr>
      </w:pPr>
    </w:p>
    <w:p w14:paraId="79FC0ED2">
      <w:pPr>
        <w:pStyle w:val="3"/>
        <w:rPr>
          <w:rFonts w:hint="eastAsia" w:asciiTheme="minorEastAsia" w:hAnsiTheme="minorEastAsia" w:eastAsiaTheme="minorEastAsia" w:cstheme="minorEastAsia"/>
          <w:color w:val="auto"/>
        </w:rPr>
      </w:pPr>
      <w:bookmarkStart w:id="41" w:name="第七章 投标文件格式"/>
      <w:bookmarkEnd w:id="41"/>
      <w:r>
        <w:rPr>
          <w:rFonts w:hint="eastAsia" w:asciiTheme="minorEastAsia" w:hAnsiTheme="minorEastAsia" w:eastAsiaTheme="minorEastAsia" w:cstheme="minorEastAsia"/>
          <w:color w:val="auto"/>
        </w:rPr>
        <w:t>第七章 投标文件格式</w:t>
      </w:r>
    </w:p>
    <w:p w14:paraId="454C1642">
      <w:pPr>
        <w:pStyle w:val="4"/>
        <w:spacing w:before="186"/>
        <w:ind w:left="1343" w:right="1700"/>
        <w:jc w:val="center"/>
        <w:rPr>
          <w:rFonts w:hint="eastAsia" w:asciiTheme="minorEastAsia" w:hAnsiTheme="minorEastAsia" w:eastAsiaTheme="minorEastAsia" w:cstheme="minorEastAsia"/>
          <w:color w:val="auto"/>
        </w:rPr>
      </w:pPr>
      <w:bookmarkStart w:id="42" w:name="编制说明"/>
      <w:bookmarkEnd w:id="42"/>
      <w:r>
        <w:rPr>
          <w:rFonts w:hint="eastAsia" w:asciiTheme="minorEastAsia" w:hAnsiTheme="minorEastAsia" w:eastAsiaTheme="minorEastAsia" w:cstheme="minorEastAsia"/>
          <w:color w:val="auto"/>
        </w:rPr>
        <w:t>编制说明</w:t>
      </w:r>
    </w:p>
    <w:p w14:paraId="29880723">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1、除招标文件另有规定外，本章中：</w:t>
      </w:r>
    </w:p>
    <w:p w14:paraId="35B03283">
      <w:pPr>
        <w:pStyle w:val="24"/>
        <w:numPr>
          <w:ilvl w:val="1"/>
          <w:numId w:val="64"/>
        </w:numPr>
        <w:tabs>
          <w:tab w:val="left" w:pos="1063"/>
        </w:tabs>
        <w:spacing w:before="161"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涉及投标人的“全称”：</w:t>
      </w:r>
    </w:p>
    <w:p w14:paraId="59410476">
      <w:pPr>
        <w:pStyle w:val="24"/>
        <w:numPr>
          <w:ilvl w:val="0"/>
          <w:numId w:val="65"/>
        </w:numPr>
        <w:tabs>
          <w:tab w:val="left" w:pos="1301"/>
        </w:tabs>
        <w:spacing w:before="160"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不接受联合体投标的，指投标人的全称。</w:t>
      </w:r>
    </w:p>
    <w:p w14:paraId="04EC4E9B">
      <w:pPr>
        <w:pStyle w:val="24"/>
        <w:numPr>
          <w:ilvl w:val="0"/>
          <w:numId w:val="65"/>
        </w:numPr>
        <w:tabs>
          <w:tab w:val="left" w:pos="1304"/>
        </w:tabs>
        <w:spacing w:before="161" w:after="0" w:line="364"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接受联合体投标且投标人为联合体的，指牵头方的全称并加注（</w:t>
      </w:r>
      <w:r>
        <w:rPr>
          <w:rFonts w:hint="eastAsia" w:asciiTheme="minorEastAsia" w:hAnsiTheme="minorEastAsia" w:eastAsiaTheme="minorEastAsia" w:cstheme="minorEastAsia"/>
          <w:color w:val="auto"/>
          <w:spacing w:val="-3"/>
          <w:sz w:val="24"/>
        </w:rPr>
        <w:t>联合体牵头</w:t>
      </w:r>
      <w:r>
        <w:rPr>
          <w:rFonts w:hint="eastAsia" w:asciiTheme="minorEastAsia" w:hAnsiTheme="minorEastAsia" w:eastAsiaTheme="minorEastAsia" w:cstheme="minorEastAsia"/>
          <w:color w:val="auto"/>
          <w:sz w:val="24"/>
        </w:rPr>
        <w:t>方），即应表述为：“牵头方的全称（联合体牵头方）”。</w:t>
      </w:r>
    </w:p>
    <w:p w14:paraId="1135EA4C">
      <w:pPr>
        <w:pStyle w:val="24"/>
        <w:numPr>
          <w:ilvl w:val="1"/>
          <w:numId w:val="64"/>
        </w:numPr>
        <w:tabs>
          <w:tab w:val="left" w:pos="1063"/>
        </w:tabs>
        <w:spacing w:before="1"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涉及投标人“加盖单位公章”：</w:t>
      </w:r>
    </w:p>
    <w:p w14:paraId="195FECA0">
      <w:pPr>
        <w:pStyle w:val="24"/>
        <w:numPr>
          <w:ilvl w:val="0"/>
          <w:numId w:val="66"/>
        </w:numPr>
        <w:tabs>
          <w:tab w:val="left" w:pos="1301"/>
        </w:tabs>
        <w:spacing w:before="161"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不接受联合体投标的，指加盖投标人的单位公章。</w:t>
      </w:r>
    </w:p>
    <w:p w14:paraId="19F6C1F7">
      <w:pPr>
        <w:pStyle w:val="24"/>
        <w:numPr>
          <w:ilvl w:val="0"/>
          <w:numId w:val="66"/>
        </w:numPr>
        <w:tabs>
          <w:tab w:val="left" w:pos="1301"/>
        </w:tabs>
        <w:spacing w:before="160"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接受联合体投标且投标人为联合体的，指加盖联合体牵头方的单位公章。</w:t>
      </w:r>
    </w:p>
    <w:p w14:paraId="22C1DE16">
      <w:pPr>
        <w:pStyle w:val="24"/>
        <w:numPr>
          <w:ilvl w:val="1"/>
          <w:numId w:val="64"/>
        </w:numPr>
        <w:tabs>
          <w:tab w:val="left" w:pos="1063"/>
        </w:tabs>
        <w:spacing w:before="161"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涉及“投标人代表签字”：</w:t>
      </w:r>
    </w:p>
    <w:p w14:paraId="6CC78897">
      <w:pPr>
        <w:pStyle w:val="24"/>
        <w:numPr>
          <w:ilvl w:val="0"/>
          <w:numId w:val="67"/>
        </w:numPr>
        <w:tabs>
          <w:tab w:val="left" w:pos="1301"/>
        </w:tabs>
        <w:spacing w:before="160" w:after="0" w:line="364" w:lineRule="auto"/>
        <w:ind w:left="220" w:right="45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rPr>
        <w:t>不接受联合体投标的，指由投标人的单位负责人或其授权的委托代理人签字</w:t>
      </w:r>
      <w:r>
        <w:rPr>
          <w:rFonts w:hint="eastAsia" w:asciiTheme="minorEastAsia" w:hAnsiTheme="minorEastAsia" w:eastAsiaTheme="minorEastAsia" w:cstheme="minorEastAsia"/>
          <w:color w:val="auto"/>
          <w:spacing w:val="-4"/>
          <w:sz w:val="24"/>
        </w:rPr>
        <w:t>，由委托代理人签字的，应提供“单位授权书”。</w:t>
      </w:r>
    </w:p>
    <w:p w14:paraId="4475B870">
      <w:pPr>
        <w:pStyle w:val="24"/>
        <w:numPr>
          <w:ilvl w:val="0"/>
          <w:numId w:val="67"/>
        </w:numPr>
        <w:tabs>
          <w:tab w:val="left" w:pos="1304"/>
        </w:tabs>
        <w:spacing w:before="1" w:after="0" w:line="364"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接受联合体投标且投标人为联合体的，指由联合体牵头方的单位负责人或其</w:t>
      </w:r>
      <w:r>
        <w:rPr>
          <w:rFonts w:hint="eastAsia" w:asciiTheme="minorEastAsia" w:hAnsiTheme="minorEastAsia" w:eastAsiaTheme="minorEastAsia" w:cstheme="minorEastAsia"/>
          <w:color w:val="auto"/>
          <w:sz w:val="24"/>
        </w:rPr>
        <w:t>授权的委托代理人签字，由委托代理人签字的，应提供“单位授权书”。</w:t>
      </w:r>
    </w:p>
    <w:p w14:paraId="7A1A98A7">
      <w:pPr>
        <w:pStyle w:val="24"/>
        <w:numPr>
          <w:ilvl w:val="1"/>
          <w:numId w:val="64"/>
        </w:numPr>
        <w:tabs>
          <w:tab w:val="left" w:pos="1006"/>
        </w:tabs>
        <w:spacing w:before="1" w:after="0" w:line="364"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“其他组织”指合伙企业、非企业专业服务机构、个体工商户、农村承包经营户等。</w:t>
      </w:r>
    </w:p>
    <w:p w14:paraId="5EA7536C">
      <w:pPr>
        <w:pStyle w:val="24"/>
        <w:numPr>
          <w:ilvl w:val="1"/>
          <w:numId w:val="64"/>
        </w:numPr>
        <w:tabs>
          <w:tab w:val="left" w:pos="1006"/>
        </w:tabs>
        <w:spacing w:before="2" w:after="0" w:line="240" w:lineRule="auto"/>
        <w:ind w:left="1005" w:right="0" w:hanging="305"/>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“自然人”指具有完全民事行为能力、能够承担民事责任和义务的中国公民。</w:t>
      </w:r>
    </w:p>
    <w:p w14:paraId="1F89627A">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2、除招标文件另有规定外，本章中“投标人的资格及资信证明文件”：</w:t>
      </w:r>
    </w:p>
    <w:p w14:paraId="6B7BB036">
      <w:pPr>
        <w:pStyle w:val="24"/>
        <w:numPr>
          <w:ilvl w:val="1"/>
          <w:numId w:val="68"/>
        </w:numPr>
        <w:tabs>
          <w:tab w:val="left" w:pos="1063"/>
        </w:tabs>
        <w:spacing w:before="161" w:after="0" w:line="364"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4"/>
          <w:sz w:val="24"/>
        </w:rPr>
        <w:t xml:space="preserve">投标人应按照招标文件第四章第 </w:t>
      </w:r>
      <w:r>
        <w:rPr>
          <w:rFonts w:hint="eastAsia" w:asciiTheme="minorEastAsia" w:hAnsiTheme="minorEastAsia" w:eastAsiaTheme="minorEastAsia" w:cstheme="minorEastAsia"/>
          <w:color w:val="auto"/>
          <w:sz w:val="24"/>
        </w:rPr>
        <w:t>1.3</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pacing w:val="-8"/>
          <w:sz w:val="24"/>
        </w:rPr>
        <w:t>条第</w:t>
      </w:r>
      <w:r>
        <w:rPr>
          <w:rFonts w:hint="eastAsia" w:asciiTheme="minorEastAsia" w:hAnsiTheme="minorEastAsia" w:eastAsiaTheme="minorEastAsia" w:cstheme="minorEastAsia"/>
          <w:color w:val="auto"/>
          <w:spacing w:val="-5"/>
          <w:sz w:val="24"/>
        </w:rPr>
        <w:t>（2）</w:t>
      </w:r>
      <w:r>
        <w:rPr>
          <w:rFonts w:hint="eastAsia" w:asciiTheme="minorEastAsia" w:hAnsiTheme="minorEastAsia" w:eastAsiaTheme="minorEastAsia" w:cstheme="minorEastAsia"/>
          <w:color w:val="auto"/>
          <w:spacing w:val="-3"/>
          <w:sz w:val="24"/>
        </w:rPr>
        <w:t>款规定及本章规定进行编制，如</w:t>
      </w:r>
      <w:r>
        <w:rPr>
          <w:rFonts w:hint="eastAsia" w:asciiTheme="minorEastAsia" w:hAnsiTheme="minorEastAsia" w:eastAsiaTheme="minorEastAsia" w:cstheme="minorEastAsia"/>
          <w:color w:val="auto"/>
          <w:sz w:val="24"/>
        </w:rPr>
        <w:t>有必要，可增加附页，附页作为资格及资信文件的组成部分。</w:t>
      </w:r>
    </w:p>
    <w:p w14:paraId="658AF26B">
      <w:pPr>
        <w:pStyle w:val="24"/>
        <w:numPr>
          <w:ilvl w:val="1"/>
          <w:numId w:val="68"/>
        </w:numPr>
        <w:tabs>
          <w:tab w:val="left" w:pos="1065"/>
        </w:tabs>
        <w:spacing w:before="1" w:after="0" w:line="364" w:lineRule="auto"/>
        <w:ind w:left="220" w:right="581"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2"/>
          <w:sz w:val="24"/>
        </w:rPr>
        <w:t xml:space="preserve">接受联合体投标且投标人为联合体的，联合体中的各方均应按照本章第 </w:t>
      </w:r>
      <w:r>
        <w:rPr>
          <w:rFonts w:hint="eastAsia" w:asciiTheme="minorEastAsia" w:hAnsiTheme="minorEastAsia" w:eastAsiaTheme="minorEastAsia" w:cstheme="minorEastAsia"/>
          <w:color w:val="auto"/>
          <w:sz w:val="24"/>
        </w:rPr>
        <w:t>2.1</w:t>
      </w:r>
      <w:r>
        <w:rPr>
          <w:rFonts w:hint="eastAsia" w:asciiTheme="minorEastAsia" w:hAnsiTheme="minorEastAsia" w:eastAsiaTheme="minorEastAsia" w:cstheme="minorEastAsia"/>
          <w:color w:val="auto"/>
          <w:spacing w:val="31"/>
          <w:sz w:val="24"/>
        </w:rPr>
        <w:t xml:space="preserve"> </w:t>
      </w:r>
      <w:r>
        <w:rPr>
          <w:rFonts w:hint="eastAsia" w:asciiTheme="minorEastAsia" w:hAnsiTheme="minorEastAsia" w:eastAsiaTheme="minorEastAsia" w:cstheme="minorEastAsia"/>
          <w:color w:val="auto"/>
          <w:sz w:val="24"/>
        </w:rPr>
        <w:t>条规定提交相应的全部资料。</w:t>
      </w:r>
    </w:p>
    <w:p w14:paraId="2D8DE8CD">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3、投标人对投标文件的索引应编制页码。</w:t>
      </w:r>
    </w:p>
    <w:p w14:paraId="48688621">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4、本章提供格式仅供参考，投标人应根据自身实际情况制作投标文件。</w:t>
      </w:r>
    </w:p>
    <w:p w14:paraId="556C2AFA">
      <w:pPr>
        <w:spacing w:after="0"/>
        <w:rPr>
          <w:rFonts w:hint="eastAsia" w:asciiTheme="minorEastAsia" w:hAnsiTheme="minorEastAsia" w:eastAsiaTheme="minorEastAsia" w:cstheme="minorEastAsia"/>
          <w:color w:val="auto"/>
        </w:rPr>
        <w:sectPr>
          <w:pgSz w:w="11910" w:h="16840"/>
          <w:pgMar w:top="1500" w:right="860" w:bottom="1160" w:left="1220" w:header="0" w:footer="970" w:gutter="0"/>
          <w:pgNumType w:fmt="decimal"/>
          <w:cols w:space="720" w:num="1"/>
        </w:sectPr>
      </w:pPr>
    </w:p>
    <w:p w14:paraId="650D5B76">
      <w:pPr>
        <w:pStyle w:val="3"/>
        <w:spacing w:before="54"/>
        <w:rPr>
          <w:rFonts w:hint="eastAsia" w:asciiTheme="minorEastAsia" w:hAnsiTheme="minorEastAsia" w:eastAsiaTheme="minorEastAsia" w:cstheme="minorEastAsia"/>
          <w:color w:val="auto"/>
        </w:rPr>
      </w:pPr>
      <w:bookmarkStart w:id="43" w:name="封面格式"/>
      <w:bookmarkEnd w:id="43"/>
      <w:r>
        <w:rPr>
          <w:rFonts w:hint="eastAsia" w:asciiTheme="minorEastAsia" w:hAnsiTheme="minorEastAsia" w:eastAsiaTheme="minorEastAsia" w:cstheme="minorEastAsia"/>
          <w:color w:val="auto"/>
        </w:rPr>
        <w:t>封面格式</w:t>
      </w:r>
    </w:p>
    <w:p w14:paraId="109E6722">
      <w:pPr>
        <w:spacing w:before="0"/>
        <w:ind w:left="1343" w:right="1703" w:firstLine="0"/>
        <w:jc w:val="center"/>
        <w:rPr>
          <w:rFonts w:hint="eastAsia" w:asciiTheme="minorEastAsia" w:hAnsiTheme="minorEastAsia" w:eastAsiaTheme="minorEastAsia" w:cstheme="minorEastAsia"/>
          <w:b/>
          <w:color w:val="auto"/>
          <w:w w:val="95"/>
          <w:sz w:val="32"/>
        </w:rPr>
      </w:pPr>
      <w:bookmarkStart w:id="44" w:name="福建省政府采购投标文件"/>
      <w:bookmarkEnd w:id="44"/>
    </w:p>
    <w:p w14:paraId="5CECED9E">
      <w:pPr>
        <w:spacing w:before="0"/>
        <w:ind w:left="1343" w:right="1703"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w w:val="95"/>
          <w:sz w:val="32"/>
        </w:rPr>
        <w:t>福建省</w:t>
      </w:r>
      <w:r>
        <w:rPr>
          <w:rFonts w:hint="eastAsia" w:asciiTheme="minorEastAsia" w:hAnsiTheme="minorEastAsia" w:eastAsiaTheme="minorEastAsia" w:cstheme="minorEastAsia"/>
          <w:b/>
          <w:color w:val="auto"/>
          <w:w w:val="95"/>
          <w:sz w:val="32"/>
          <w:lang w:eastAsia="zh-CN"/>
        </w:rPr>
        <w:t>企业采购</w:t>
      </w:r>
      <w:r>
        <w:rPr>
          <w:rFonts w:hint="eastAsia" w:asciiTheme="minorEastAsia" w:hAnsiTheme="minorEastAsia" w:eastAsiaTheme="minorEastAsia" w:cstheme="minorEastAsia"/>
          <w:b/>
          <w:color w:val="auto"/>
          <w:w w:val="95"/>
          <w:sz w:val="32"/>
        </w:rPr>
        <w:t>投标文件</w:t>
      </w:r>
    </w:p>
    <w:p w14:paraId="2AED56E5">
      <w:pPr>
        <w:spacing w:before="214"/>
        <w:ind w:left="1343" w:right="1703" w:firstLine="0"/>
        <w:jc w:val="center"/>
        <w:rPr>
          <w:rFonts w:hint="eastAsia" w:asciiTheme="minorEastAsia" w:hAnsiTheme="minorEastAsia" w:eastAsiaTheme="minorEastAsia" w:cstheme="minorEastAsia"/>
          <w:b/>
          <w:color w:val="auto"/>
          <w:sz w:val="32"/>
        </w:rPr>
      </w:pPr>
      <w:bookmarkStart w:id="45" w:name="（资格及资信证明部分）"/>
      <w:bookmarkEnd w:id="45"/>
      <w:r>
        <w:rPr>
          <w:rFonts w:hint="eastAsia" w:asciiTheme="minorEastAsia" w:hAnsiTheme="minorEastAsia" w:eastAsiaTheme="minorEastAsia" w:cstheme="minorEastAsia"/>
          <w:b/>
          <w:color w:val="auto"/>
          <w:w w:val="95"/>
          <w:sz w:val="32"/>
        </w:rPr>
        <w:t>（资格及资信证明部分）</w:t>
      </w:r>
    </w:p>
    <w:p w14:paraId="2EA81EF5">
      <w:pPr>
        <w:spacing w:before="0"/>
        <w:ind w:left="1343" w:right="1703" w:firstLine="0"/>
        <w:jc w:val="center"/>
        <w:rPr>
          <w:rFonts w:hint="eastAsia" w:asciiTheme="minorEastAsia" w:hAnsiTheme="minorEastAsia" w:eastAsiaTheme="minorEastAsia" w:cstheme="minorEastAsia"/>
          <w:b/>
          <w:color w:val="auto"/>
          <w:sz w:val="32"/>
        </w:rPr>
      </w:pPr>
      <w:bookmarkStart w:id="46" w:name="（填写正本或副本）"/>
      <w:bookmarkEnd w:id="46"/>
    </w:p>
    <w:p w14:paraId="1ED7DCD1">
      <w:pPr>
        <w:spacing w:before="0"/>
        <w:ind w:left="1343" w:right="1703" w:firstLine="0"/>
        <w:jc w:val="center"/>
        <w:rPr>
          <w:rFonts w:hint="eastAsia" w:asciiTheme="minorEastAsia" w:hAnsiTheme="minorEastAsia" w:eastAsiaTheme="minorEastAsia" w:cstheme="minorEastAsia"/>
          <w:b/>
          <w:color w:val="auto"/>
          <w:sz w:val="32"/>
        </w:rPr>
      </w:pPr>
    </w:p>
    <w:p w14:paraId="10A8E5C9">
      <w:pPr>
        <w:spacing w:before="0"/>
        <w:ind w:left="1343" w:right="1703"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sz w:val="32"/>
        </w:rPr>
        <w:t>（填写正本或副本）</w:t>
      </w:r>
    </w:p>
    <w:p w14:paraId="0CF58BEC">
      <w:pPr>
        <w:spacing w:before="250"/>
        <w:ind w:left="1343" w:right="1705" w:firstLine="0"/>
        <w:jc w:val="center"/>
        <w:rPr>
          <w:rFonts w:hint="eastAsia" w:asciiTheme="minorEastAsia" w:hAnsiTheme="minorEastAsia" w:eastAsiaTheme="minorEastAsia" w:cstheme="minorEastAsia"/>
          <w:b/>
          <w:color w:val="auto"/>
          <w:w w:val="95"/>
          <w:sz w:val="32"/>
        </w:rPr>
      </w:pPr>
      <w:bookmarkStart w:id="47" w:name="（项目名称：（由投标人填写）"/>
      <w:bookmarkEnd w:id="47"/>
    </w:p>
    <w:p w14:paraId="7418A2FF">
      <w:pPr>
        <w:spacing w:before="250"/>
        <w:ind w:left="1343" w:right="1705" w:firstLine="0"/>
        <w:jc w:val="center"/>
        <w:rPr>
          <w:rFonts w:hint="eastAsia" w:asciiTheme="minorEastAsia" w:hAnsiTheme="minorEastAsia" w:eastAsiaTheme="minorEastAsia" w:cstheme="minorEastAsia"/>
          <w:b/>
          <w:color w:val="auto"/>
          <w:w w:val="95"/>
          <w:sz w:val="32"/>
        </w:rPr>
      </w:pPr>
    </w:p>
    <w:p w14:paraId="3922E453">
      <w:pPr>
        <w:spacing w:before="250"/>
        <w:ind w:left="1343" w:right="1705"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w w:val="95"/>
          <w:sz w:val="32"/>
        </w:rPr>
        <w:t>（项目名称：（由投标人填写）</w:t>
      </w:r>
    </w:p>
    <w:p w14:paraId="23993FFA">
      <w:pPr>
        <w:spacing w:before="214"/>
        <w:ind w:left="1343" w:right="1705" w:firstLine="0"/>
        <w:jc w:val="center"/>
        <w:rPr>
          <w:rFonts w:hint="eastAsia" w:asciiTheme="minorEastAsia" w:hAnsiTheme="minorEastAsia" w:eastAsiaTheme="minorEastAsia" w:cstheme="minorEastAsia"/>
          <w:b/>
          <w:color w:val="auto"/>
          <w:sz w:val="32"/>
        </w:rPr>
      </w:pPr>
      <w:bookmarkStart w:id="48" w:name="（备案编号：（由投标人填写）"/>
      <w:bookmarkEnd w:id="48"/>
      <w:r>
        <w:rPr>
          <w:rFonts w:hint="eastAsia" w:asciiTheme="minorEastAsia" w:hAnsiTheme="minorEastAsia" w:eastAsiaTheme="minorEastAsia" w:cstheme="minorEastAsia"/>
          <w:b/>
          <w:color w:val="auto"/>
          <w:w w:val="95"/>
          <w:sz w:val="32"/>
        </w:rPr>
        <w:t>（备案编号：（由投标人填写）</w:t>
      </w:r>
    </w:p>
    <w:p w14:paraId="7F2E3967">
      <w:pPr>
        <w:spacing w:before="214"/>
        <w:ind w:left="1343" w:right="1705" w:firstLine="0"/>
        <w:jc w:val="center"/>
        <w:rPr>
          <w:rFonts w:hint="eastAsia" w:asciiTheme="minorEastAsia" w:hAnsiTheme="minorEastAsia" w:eastAsiaTheme="minorEastAsia" w:cstheme="minorEastAsia"/>
          <w:b/>
          <w:color w:val="auto"/>
          <w:sz w:val="32"/>
        </w:rPr>
      </w:pPr>
      <w:bookmarkStart w:id="49" w:name="（项目编号：（由投标人填写）"/>
      <w:bookmarkEnd w:id="49"/>
      <w:r>
        <w:rPr>
          <w:rFonts w:hint="eastAsia" w:asciiTheme="minorEastAsia" w:hAnsiTheme="minorEastAsia" w:eastAsiaTheme="minorEastAsia" w:cstheme="minorEastAsia"/>
          <w:b/>
          <w:color w:val="auto"/>
          <w:w w:val="95"/>
          <w:sz w:val="32"/>
        </w:rPr>
        <w:t>（项目编号：（由投标人填写）</w:t>
      </w:r>
    </w:p>
    <w:p w14:paraId="5C2595D1">
      <w:pPr>
        <w:spacing w:before="214"/>
        <w:ind w:left="1343" w:right="1705" w:firstLine="0"/>
        <w:jc w:val="center"/>
        <w:rPr>
          <w:rFonts w:hint="eastAsia" w:asciiTheme="minorEastAsia" w:hAnsiTheme="minorEastAsia" w:eastAsiaTheme="minorEastAsia" w:cstheme="minorEastAsia"/>
          <w:b/>
          <w:color w:val="auto"/>
          <w:sz w:val="32"/>
        </w:rPr>
      </w:pPr>
      <w:bookmarkStart w:id="50" w:name="（所投采购包：（由投标人填写）"/>
      <w:bookmarkEnd w:id="50"/>
    </w:p>
    <w:p w14:paraId="5E52EAC1">
      <w:pPr>
        <w:spacing w:before="214"/>
        <w:ind w:left="1343" w:right="1705" w:firstLine="0"/>
        <w:jc w:val="center"/>
        <w:rPr>
          <w:rFonts w:hint="eastAsia" w:asciiTheme="minorEastAsia" w:hAnsiTheme="minorEastAsia" w:eastAsiaTheme="minorEastAsia" w:cstheme="minorEastAsia"/>
          <w:b/>
          <w:color w:val="auto"/>
          <w:sz w:val="32"/>
        </w:rPr>
      </w:pPr>
    </w:p>
    <w:p w14:paraId="79E97DAE">
      <w:pPr>
        <w:spacing w:before="214"/>
        <w:ind w:left="1343" w:right="1705" w:firstLine="0"/>
        <w:jc w:val="center"/>
        <w:rPr>
          <w:rFonts w:hint="eastAsia" w:asciiTheme="minorEastAsia" w:hAnsiTheme="minorEastAsia" w:eastAsiaTheme="minorEastAsia" w:cstheme="minorEastAsia"/>
          <w:b/>
          <w:color w:val="auto"/>
          <w:sz w:val="32"/>
        </w:rPr>
      </w:pPr>
    </w:p>
    <w:p w14:paraId="28EA9B41">
      <w:pPr>
        <w:spacing w:before="214"/>
        <w:ind w:left="1343" w:right="1705"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sz w:val="32"/>
        </w:rPr>
        <w:t>（所投采购包：（由投标人填写）</w:t>
      </w:r>
    </w:p>
    <w:p w14:paraId="0DA166BB">
      <w:pPr>
        <w:spacing w:before="232"/>
        <w:ind w:left="1343" w:right="1705" w:firstLine="0"/>
        <w:jc w:val="center"/>
        <w:rPr>
          <w:rFonts w:hint="eastAsia" w:asciiTheme="minorEastAsia" w:hAnsiTheme="minorEastAsia" w:eastAsiaTheme="minorEastAsia" w:cstheme="minorEastAsia"/>
          <w:b/>
          <w:color w:val="auto"/>
          <w:sz w:val="32"/>
        </w:rPr>
      </w:pPr>
      <w:bookmarkStart w:id="51" w:name="投标人：（填写“全称”）"/>
      <w:bookmarkEnd w:id="51"/>
    </w:p>
    <w:p w14:paraId="445EF0F9">
      <w:pPr>
        <w:spacing w:before="232"/>
        <w:ind w:left="1343" w:right="1705" w:firstLine="0"/>
        <w:jc w:val="center"/>
        <w:rPr>
          <w:rFonts w:hint="eastAsia" w:asciiTheme="minorEastAsia" w:hAnsiTheme="minorEastAsia" w:eastAsiaTheme="minorEastAsia" w:cstheme="minorEastAsia"/>
          <w:b/>
          <w:color w:val="auto"/>
          <w:sz w:val="32"/>
        </w:rPr>
      </w:pPr>
    </w:p>
    <w:p w14:paraId="3F7FCA39">
      <w:pPr>
        <w:spacing w:before="232"/>
        <w:ind w:left="1343" w:right="1705" w:firstLine="0"/>
        <w:jc w:val="center"/>
        <w:rPr>
          <w:rFonts w:hint="eastAsia" w:asciiTheme="minorEastAsia" w:hAnsiTheme="minorEastAsia" w:eastAsiaTheme="minorEastAsia" w:cstheme="minorEastAsia"/>
          <w:b/>
          <w:color w:val="auto"/>
          <w:sz w:val="32"/>
        </w:rPr>
      </w:pPr>
    </w:p>
    <w:p w14:paraId="77EA4E21">
      <w:pPr>
        <w:spacing w:before="232"/>
        <w:ind w:left="1343" w:right="1705"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sz w:val="32"/>
        </w:rPr>
        <w:t>投标人：（填写“全称”）</w:t>
      </w:r>
    </w:p>
    <w:p w14:paraId="53F17D87">
      <w:pPr>
        <w:spacing w:before="214"/>
        <w:ind w:left="1343" w:right="1705" w:firstLine="0"/>
        <w:jc w:val="center"/>
        <w:rPr>
          <w:rFonts w:hint="eastAsia" w:asciiTheme="minorEastAsia" w:hAnsiTheme="minorEastAsia" w:eastAsiaTheme="minorEastAsia" w:cstheme="minorEastAsia"/>
          <w:b/>
          <w:color w:val="auto"/>
          <w:sz w:val="32"/>
        </w:rPr>
      </w:pPr>
      <w:bookmarkStart w:id="52" w:name="（由投标人填写）年（由投标人填写）月"/>
      <w:bookmarkEnd w:id="52"/>
      <w:r>
        <w:rPr>
          <w:rFonts w:hint="eastAsia" w:asciiTheme="minorEastAsia" w:hAnsiTheme="minorEastAsia" w:eastAsiaTheme="minorEastAsia" w:cstheme="minorEastAsia"/>
          <w:b/>
          <w:color w:val="auto"/>
          <w:sz w:val="32"/>
        </w:rPr>
        <w:t>（由投标人填写）年（由投标人填写）月</w:t>
      </w:r>
    </w:p>
    <w:p w14:paraId="67C21058">
      <w:pPr>
        <w:spacing w:after="0"/>
        <w:jc w:val="center"/>
        <w:rPr>
          <w:rFonts w:hint="eastAsia" w:asciiTheme="minorEastAsia" w:hAnsiTheme="minorEastAsia" w:eastAsiaTheme="minorEastAsia" w:cstheme="minorEastAsia"/>
          <w:color w:val="auto"/>
          <w:sz w:val="32"/>
        </w:rPr>
        <w:sectPr>
          <w:pgSz w:w="11910" w:h="16840"/>
          <w:pgMar w:top="1580" w:right="860" w:bottom="1160" w:left="1220" w:header="0" w:footer="970" w:gutter="0"/>
          <w:pgNumType w:fmt="decimal"/>
          <w:cols w:space="720" w:num="1"/>
        </w:sectPr>
      </w:pPr>
    </w:p>
    <w:p w14:paraId="4A15D462">
      <w:pPr>
        <w:pStyle w:val="4"/>
        <w:spacing w:before="42"/>
        <w:ind w:left="1343" w:right="1704"/>
        <w:jc w:val="center"/>
        <w:rPr>
          <w:rFonts w:hint="eastAsia" w:asciiTheme="minorEastAsia" w:hAnsiTheme="minorEastAsia" w:eastAsiaTheme="minorEastAsia" w:cstheme="minorEastAsia"/>
          <w:color w:val="auto"/>
        </w:rPr>
      </w:pPr>
      <w:bookmarkStart w:id="53" w:name="索引"/>
      <w:bookmarkEnd w:id="53"/>
      <w:r>
        <w:rPr>
          <w:rFonts w:hint="eastAsia" w:asciiTheme="minorEastAsia" w:hAnsiTheme="minorEastAsia" w:eastAsiaTheme="minorEastAsia" w:cstheme="minorEastAsia"/>
          <w:color w:val="auto"/>
        </w:rPr>
        <w:t>索引</w:t>
      </w:r>
    </w:p>
    <w:p w14:paraId="71A5754B">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一、投标函</w:t>
      </w:r>
    </w:p>
    <w:p w14:paraId="07FCADCC">
      <w:pPr>
        <w:pStyle w:val="6"/>
        <w:spacing w:before="161" w:line="364" w:lineRule="auto"/>
        <w:ind w:left="700" w:right="552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二、投标人的资格及资信证明文件三、投标保证金</w:t>
      </w:r>
    </w:p>
    <w:p w14:paraId="4184EEB9">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7F643CFD">
      <w:pPr>
        <w:pStyle w:val="6"/>
        <w:spacing w:before="16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4"/>
        </w:rPr>
        <w:t>资格及资信证明部分中不得出现报价部分的全部或部分的投标报价信息</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5"/>
        </w:rPr>
        <w:t>或组成资</w:t>
      </w:r>
      <w:r>
        <w:rPr>
          <w:rFonts w:hint="eastAsia" w:asciiTheme="minorEastAsia" w:hAnsiTheme="minorEastAsia" w:eastAsiaTheme="minorEastAsia" w:cstheme="minorEastAsia"/>
          <w:color w:val="auto"/>
        </w:rPr>
        <w:t>料</w:t>
      </w:r>
      <w:r>
        <w:rPr>
          <w:rFonts w:hint="eastAsia" w:asciiTheme="minorEastAsia" w:hAnsiTheme="minorEastAsia" w:eastAsiaTheme="minorEastAsia" w:cstheme="minorEastAsia"/>
          <w:color w:val="auto"/>
          <w:spacing w:val="-20"/>
        </w:rPr>
        <w:t>），</w:t>
      </w:r>
      <w:r>
        <w:rPr>
          <w:rFonts w:hint="eastAsia" w:asciiTheme="minorEastAsia" w:hAnsiTheme="minorEastAsia" w:eastAsiaTheme="minorEastAsia" w:cstheme="minorEastAsia"/>
          <w:color w:val="auto"/>
          <w:spacing w:val="-4"/>
        </w:rPr>
        <w:t>否则资格审查不合格。</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spacing w:val="-2"/>
        </w:rPr>
        <w:t>联合体协议及分包意向协议中的比例规定，不适用本条</w:t>
      </w:r>
      <w:r>
        <w:rPr>
          <w:rFonts w:hint="eastAsia" w:asciiTheme="minorEastAsia" w:hAnsiTheme="minorEastAsia" w:eastAsiaTheme="minorEastAsia" w:cstheme="minorEastAsia"/>
          <w:color w:val="auto"/>
        </w:rPr>
        <w:t>款）</w:t>
      </w:r>
    </w:p>
    <w:p w14:paraId="1BAA612A">
      <w:pPr>
        <w:spacing w:after="0" w:line="364" w:lineRule="auto"/>
        <w:jc w:val="both"/>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3DB9846D">
      <w:pPr>
        <w:pStyle w:val="4"/>
        <w:spacing w:before="42"/>
        <w:ind w:left="1343" w:right="1703"/>
        <w:jc w:val="center"/>
        <w:rPr>
          <w:rFonts w:hint="eastAsia" w:asciiTheme="minorEastAsia" w:hAnsiTheme="minorEastAsia" w:eastAsiaTheme="minorEastAsia" w:cstheme="minorEastAsia"/>
          <w:color w:val="auto"/>
        </w:rPr>
      </w:pPr>
      <w:bookmarkStart w:id="54" w:name="一、投标函"/>
      <w:bookmarkEnd w:id="54"/>
      <w:r>
        <w:rPr>
          <w:rFonts w:hint="eastAsia" w:asciiTheme="minorEastAsia" w:hAnsiTheme="minorEastAsia" w:eastAsiaTheme="minorEastAsia" w:cstheme="minorEastAsia"/>
          <w:color w:val="auto"/>
        </w:rPr>
        <w:t>一、投标函</w:t>
      </w:r>
    </w:p>
    <w:p w14:paraId="2524F5D8">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致：</w:t>
      </w:r>
      <w:r>
        <w:rPr>
          <w:rFonts w:hint="eastAsia" w:asciiTheme="minorEastAsia" w:hAnsiTheme="minorEastAsia" w:eastAsiaTheme="minorEastAsia" w:cstheme="minorEastAsia"/>
          <w:color w:val="auto"/>
          <w:u w:val="single"/>
        </w:rPr>
        <w:t>（采购人或采购代理机构）</w:t>
      </w:r>
    </w:p>
    <w:p w14:paraId="0D5C3EF9">
      <w:pPr>
        <w:pStyle w:val="6"/>
        <w:tabs>
          <w:tab w:val="left" w:pos="8058"/>
        </w:tabs>
        <w:spacing w:before="161"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兹收到贵单位关</w:t>
      </w:r>
      <w:r>
        <w:rPr>
          <w:rFonts w:hint="eastAsia" w:asciiTheme="minorEastAsia" w:hAnsiTheme="minorEastAsia" w:eastAsiaTheme="minorEastAsia" w:cstheme="minorEastAsia"/>
          <w:color w:val="auto"/>
          <w:spacing w:val="-12"/>
        </w:rPr>
        <w:t>于</w:t>
      </w:r>
      <w:r>
        <w:rPr>
          <w:rFonts w:hint="eastAsia" w:asciiTheme="minorEastAsia" w:hAnsiTheme="minorEastAsia" w:eastAsiaTheme="minorEastAsia" w:cstheme="minorEastAsia"/>
          <w:color w:val="auto"/>
          <w:spacing w:val="-3"/>
          <w:u w:val="single"/>
        </w:rPr>
        <w:t>（</w:t>
      </w:r>
      <w:r>
        <w:rPr>
          <w:rFonts w:hint="eastAsia" w:asciiTheme="minorEastAsia" w:hAnsiTheme="minorEastAsia" w:eastAsiaTheme="minorEastAsia" w:cstheme="minorEastAsia"/>
          <w:color w:val="auto"/>
          <w:u w:val="single"/>
        </w:rPr>
        <w:t>填</w:t>
      </w:r>
      <w:r>
        <w:rPr>
          <w:rFonts w:hint="eastAsia" w:asciiTheme="minorEastAsia" w:hAnsiTheme="minorEastAsia" w:eastAsiaTheme="minorEastAsia" w:cstheme="minorEastAsia"/>
          <w:color w:val="auto"/>
          <w:spacing w:val="-12"/>
          <w:u w:val="single"/>
        </w:rPr>
        <w:t>写</w:t>
      </w:r>
      <w:r>
        <w:rPr>
          <w:rFonts w:hint="eastAsia" w:asciiTheme="minorEastAsia" w:hAnsiTheme="minorEastAsia" w:eastAsiaTheme="minorEastAsia" w:cstheme="minorEastAsia"/>
          <w:color w:val="auto"/>
          <w:u w:val="single"/>
        </w:rPr>
        <w:t>“项目名称</w:t>
      </w:r>
      <w:r>
        <w:rPr>
          <w:rFonts w:hint="eastAsia" w:asciiTheme="minorEastAsia" w:hAnsiTheme="minorEastAsia" w:eastAsiaTheme="minorEastAsia" w:cstheme="minorEastAsia"/>
          <w:color w:val="auto"/>
          <w:spacing w:val="-15"/>
          <w:u w:val="single"/>
        </w:rPr>
        <w:t>”）</w:t>
      </w:r>
      <w:r>
        <w:rPr>
          <w:rFonts w:hint="eastAsia" w:asciiTheme="minorEastAsia" w:hAnsiTheme="minorEastAsia" w:eastAsiaTheme="minorEastAsia" w:cstheme="minorEastAsia"/>
          <w:color w:val="auto"/>
        </w:rPr>
        <w:t>项</w:t>
      </w:r>
      <w:r>
        <w:rPr>
          <w:rFonts w:hint="eastAsia" w:asciiTheme="minorEastAsia" w:hAnsiTheme="minorEastAsia" w:eastAsiaTheme="minorEastAsia" w:cstheme="minorEastAsia"/>
          <w:color w:val="auto"/>
          <w:spacing w:val="-12"/>
        </w:rPr>
        <w:t>目</w:t>
      </w:r>
      <w:r>
        <w:rPr>
          <w:rFonts w:hint="eastAsia" w:asciiTheme="minorEastAsia" w:hAnsiTheme="minorEastAsia" w:eastAsiaTheme="minorEastAsia" w:cstheme="minorEastAsia"/>
          <w:color w:val="auto"/>
          <w:u w:val="single"/>
        </w:rPr>
        <w:t>（项目编号：</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5"/>
          <w:u w:val="single"/>
        </w:rPr>
        <w:t>）</w:t>
      </w:r>
      <w:r>
        <w:rPr>
          <w:rFonts w:hint="eastAsia" w:asciiTheme="minorEastAsia" w:hAnsiTheme="minorEastAsia" w:eastAsiaTheme="minorEastAsia" w:cstheme="minorEastAsia"/>
          <w:color w:val="auto"/>
        </w:rPr>
        <w:t>的投标邀请</w:t>
      </w:r>
      <w:r>
        <w:rPr>
          <w:rFonts w:hint="eastAsia" w:asciiTheme="minorEastAsia" w:hAnsiTheme="minorEastAsia" w:eastAsiaTheme="minorEastAsia" w:cstheme="minorEastAsia"/>
          <w:color w:val="auto"/>
          <w:spacing w:val="-17"/>
        </w:rPr>
        <w:t>，</w:t>
      </w:r>
      <w:r>
        <w:rPr>
          <w:rFonts w:hint="eastAsia" w:asciiTheme="minorEastAsia" w:hAnsiTheme="minorEastAsia" w:eastAsiaTheme="minorEastAsia" w:cstheme="minorEastAsia"/>
          <w:color w:val="auto"/>
        </w:rPr>
        <w:t>本投标人代</w:t>
      </w:r>
      <w:r>
        <w:rPr>
          <w:rFonts w:hint="eastAsia" w:asciiTheme="minorEastAsia" w:hAnsiTheme="minorEastAsia" w:eastAsiaTheme="minorEastAsia" w:cstheme="minorEastAsia"/>
          <w:color w:val="auto"/>
          <w:spacing w:val="-17"/>
        </w:rPr>
        <w:t>表</w:t>
      </w:r>
      <w:r>
        <w:rPr>
          <w:rFonts w:hint="eastAsia" w:asciiTheme="minorEastAsia" w:hAnsiTheme="minorEastAsia" w:eastAsiaTheme="minorEastAsia" w:cstheme="minorEastAsia"/>
          <w:color w:val="auto"/>
          <w:u w:val="single"/>
        </w:rPr>
        <w:t>（填</w:t>
      </w:r>
      <w:r>
        <w:rPr>
          <w:rFonts w:hint="eastAsia" w:asciiTheme="minorEastAsia" w:hAnsiTheme="minorEastAsia" w:eastAsiaTheme="minorEastAsia" w:cstheme="minorEastAsia"/>
          <w:color w:val="auto"/>
          <w:spacing w:val="-17"/>
          <w:u w:val="single"/>
        </w:rPr>
        <w:t>写</w:t>
      </w:r>
      <w:r>
        <w:rPr>
          <w:rFonts w:hint="eastAsia" w:asciiTheme="minorEastAsia" w:hAnsiTheme="minorEastAsia" w:eastAsiaTheme="minorEastAsia" w:cstheme="minorEastAsia"/>
          <w:color w:val="auto"/>
          <w:u w:val="single"/>
        </w:rPr>
        <w:t>“全名</w:t>
      </w:r>
      <w:r>
        <w:rPr>
          <w:rFonts w:hint="eastAsia" w:asciiTheme="minorEastAsia" w:hAnsiTheme="minorEastAsia" w:eastAsiaTheme="minorEastAsia" w:cstheme="minorEastAsia"/>
          <w:color w:val="auto"/>
          <w:spacing w:val="-17"/>
          <w:u w:val="single"/>
        </w:rPr>
        <w:t>”）</w:t>
      </w:r>
      <w:r>
        <w:rPr>
          <w:rFonts w:hint="eastAsia" w:asciiTheme="minorEastAsia" w:hAnsiTheme="minorEastAsia" w:eastAsiaTheme="minorEastAsia" w:cstheme="minorEastAsia"/>
          <w:color w:val="auto"/>
        </w:rPr>
        <w:t>已获得我方正式授权并代表投标</w:t>
      </w:r>
      <w:r>
        <w:rPr>
          <w:rFonts w:hint="eastAsia" w:asciiTheme="minorEastAsia" w:hAnsiTheme="minorEastAsia" w:eastAsiaTheme="minorEastAsia" w:cstheme="minorEastAsia"/>
          <w:color w:val="auto"/>
          <w:spacing w:val="-17"/>
        </w:rPr>
        <w:t>人</w:t>
      </w:r>
      <w:r>
        <w:rPr>
          <w:rFonts w:hint="eastAsia" w:asciiTheme="minorEastAsia" w:hAnsiTheme="minorEastAsia" w:eastAsiaTheme="minorEastAsia" w:cstheme="minorEastAsia"/>
          <w:color w:val="auto"/>
        </w:rPr>
        <w:t>（填</w:t>
      </w:r>
      <w:r>
        <w:rPr>
          <w:rFonts w:hint="eastAsia" w:asciiTheme="minorEastAsia" w:hAnsiTheme="minorEastAsia" w:eastAsiaTheme="minorEastAsia" w:cstheme="minorEastAsia"/>
          <w:color w:val="auto"/>
          <w:spacing w:val="-15"/>
        </w:rPr>
        <w:t>写</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rPr>
        <w:t>全称</w:t>
      </w:r>
      <w:r>
        <w:rPr>
          <w:rFonts w:hint="eastAsia" w:asciiTheme="minorEastAsia" w:hAnsiTheme="minorEastAsia" w:eastAsiaTheme="minorEastAsia" w:cstheme="minorEastAsia"/>
          <w:color w:val="auto"/>
          <w:spacing w:val="-60"/>
        </w:rPr>
        <w:t xml:space="preserve">”） </w:t>
      </w:r>
      <w:r>
        <w:rPr>
          <w:rFonts w:hint="eastAsia" w:asciiTheme="minorEastAsia" w:hAnsiTheme="minorEastAsia" w:eastAsiaTheme="minorEastAsia" w:cstheme="minorEastAsia"/>
          <w:color w:val="auto"/>
        </w:rPr>
        <w:t>参加投标，并提交投标文件。我方提交的全部投标文件由下述部分组成：</w:t>
      </w:r>
    </w:p>
    <w:p w14:paraId="70AE1E2E">
      <w:pPr>
        <w:pStyle w:val="24"/>
        <w:numPr>
          <w:ilvl w:val="0"/>
          <w:numId w:val="69"/>
        </w:numPr>
        <w:tabs>
          <w:tab w:val="left" w:pos="1301"/>
        </w:tabs>
        <w:spacing w:before="2"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资格及资信证明部分</w:t>
      </w:r>
    </w:p>
    <w:p w14:paraId="4C44FCD9">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①投标函</w:t>
      </w:r>
    </w:p>
    <w:p w14:paraId="6D408ACB">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②投标人的资格及资信证明文件</w:t>
      </w:r>
    </w:p>
    <w:p w14:paraId="540FBE8E">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③投标保证金</w:t>
      </w:r>
    </w:p>
    <w:p w14:paraId="4406F79E">
      <w:pPr>
        <w:pStyle w:val="24"/>
        <w:numPr>
          <w:ilvl w:val="0"/>
          <w:numId w:val="69"/>
        </w:numPr>
        <w:tabs>
          <w:tab w:val="left" w:pos="1301"/>
        </w:tabs>
        <w:spacing w:before="161"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报价部分</w:t>
      </w:r>
    </w:p>
    <w:p w14:paraId="0AB15704">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①开标一览表</w:t>
      </w:r>
    </w:p>
    <w:p w14:paraId="47286598">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②投标分项报价表</w:t>
      </w:r>
    </w:p>
    <w:p w14:paraId="163838F5">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③招标文件规定的价格扣除证明材料（若有）</w:t>
      </w:r>
    </w:p>
    <w:p w14:paraId="1C82BCC1">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④招标文件规定的加分证明材料（若有）</w:t>
      </w:r>
    </w:p>
    <w:p w14:paraId="27A23ACE">
      <w:pPr>
        <w:pStyle w:val="24"/>
        <w:numPr>
          <w:ilvl w:val="0"/>
          <w:numId w:val="69"/>
        </w:numPr>
        <w:tabs>
          <w:tab w:val="left" w:pos="1301"/>
        </w:tabs>
        <w:spacing w:before="160" w:after="0" w:line="240" w:lineRule="auto"/>
        <w:ind w:left="1301" w:right="0" w:hanging="601"/>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技术商务部分</w:t>
      </w:r>
    </w:p>
    <w:p w14:paraId="63E84586">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①标的说明一览表</w:t>
      </w:r>
    </w:p>
    <w:p w14:paraId="510CF5C9">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②技术和服务要求响应表</w:t>
      </w:r>
    </w:p>
    <w:p w14:paraId="5B9C30C2">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③商务条件响应表</w:t>
      </w:r>
    </w:p>
    <w:p w14:paraId="496EF349">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④投标人提交的其他资料（若有）</w:t>
      </w:r>
    </w:p>
    <w:p w14:paraId="5990505A">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根据本函，本投标人代表宣布我方保证遵守招标文件的全部规定，同时：</w:t>
      </w:r>
    </w:p>
    <w:p w14:paraId="488E3FFF">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1、确认：</w:t>
      </w:r>
    </w:p>
    <w:p w14:paraId="530A76AE">
      <w:pPr>
        <w:pStyle w:val="24"/>
        <w:numPr>
          <w:ilvl w:val="1"/>
          <w:numId w:val="70"/>
        </w:numPr>
        <w:tabs>
          <w:tab w:val="left" w:pos="1063"/>
        </w:tabs>
        <w:spacing w:before="161"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所投采购包的投标报价详见“开标一览表”及“投标分项报价表”。</w:t>
      </w:r>
    </w:p>
    <w:p w14:paraId="1EF7D443">
      <w:pPr>
        <w:pStyle w:val="24"/>
        <w:numPr>
          <w:ilvl w:val="1"/>
          <w:numId w:val="70"/>
        </w:numPr>
        <w:tabs>
          <w:tab w:val="left" w:pos="1063"/>
        </w:tabs>
        <w:spacing w:before="160"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我方已详细审查全部招标文件[</w:t>
      </w:r>
      <w:r>
        <w:rPr>
          <w:rFonts w:hint="eastAsia" w:asciiTheme="minorEastAsia" w:hAnsiTheme="minorEastAsia" w:eastAsiaTheme="minorEastAsia" w:cstheme="minorEastAsia"/>
          <w:color w:val="auto"/>
          <w:spacing w:val="-3"/>
          <w:sz w:val="24"/>
        </w:rPr>
        <w:t>包括但不限于：有关附件（</w:t>
      </w:r>
      <w:r>
        <w:rPr>
          <w:rFonts w:hint="eastAsia" w:asciiTheme="minorEastAsia" w:hAnsiTheme="minorEastAsia" w:eastAsiaTheme="minorEastAsia" w:cstheme="minorEastAsia"/>
          <w:color w:val="auto"/>
          <w:sz w:val="24"/>
        </w:rPr>
        <w:t>若有</w:t>
      </w:r>
      <w:r>
        <w:rPr>
          <w:rFonts w:hint="eastAsia" w:asciiTheme="minorEastAsia" w:hAnsiTheme="minorEastAsia" w:eastAsiaTheme="minorEastAsia" w:cstheme="minorEastAsia"/>
          <w:color w:val="auto"/>
          <w:spacing w:val="-13"/>
          <w:sz w:val="24"/>
        </w:rPr>
        <w:t>）</w:t>
      </w:r>
      <w:r>
        <w:rPr>
          <w:rFonts w:hint="eastAsia" w:asciiTheme="minorEastAsia" w:hAnsiTheme="minorEastAsia" w:eastAsiaTheme="minorEastAsia" w:cstheme="minorEastAsia"/>
          <w:color w:val="auto"/>
          <w:spacing w:val="-3"/>
          <w:sz w:val="24"/>
        </w:rPr>
        <w:t>、澄清或修改</w:t>
      </w:r>
    </w:p>
    <w:p w14:paraId="108DF2FA">
      <w:pPr>
        <w:pStyle w:val="6"/>
        <w:spacing w:before="161" w:line="364" w:lineRule="auto"/>
        <w:ind w:right="5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（若有）等]，并自行承担因对全部招标文件理解不正确或误解而产生的相应后果和责任。</w:t>
      </w:r>
    </w:p>
    <w:p w14:paraId="05C8D652">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2、承诺及声明：</w:t>
      </w:r>
    </w:p>
    <w:p w14:paraId="7D984463">
      <w:pPr>
        <w:pStyle w:val="24"/>
        <w:numPr>
          <w:ilvl w:val="1"/>
          <w:numId w:val="71"/>
        </w:numPr>
        <w:tabs>
          <w:tab w:val="left" w:pos="1065"/>
        </w:tabs>
        <w:spacing w:before="160" w:after="0" w:line="364"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2"/>
          <w:sz w:val="24"/>
        </w:rPr>
        <w:t>我方具备招标文件第一章载明的“投标人的资格要求”且符合招标文件第三章</w:t>
      </w:r>
      <w:r>
        <w:rPr>
          <w:rFonts w:hint="eastAsia" w:asciiTheme="minorEastAsia" w:hAnsiTheme="minorEastAsia" w:eastAsiaTheme="minorEastAsia" w:cstheme="minorEastAsia"/>
          <w:color w:val="auto"/>
          <w:sz w:val="24"/>
        </w:rPr>
        <w:t>载明的“二、投标人”之规定，否则投标无效。</w:t>
      </w:r>
    </w:p>
    <w:p w14:paraId="3A2FFAB2">
      <w:pPr>
        <w:spacing w:after="0" w:line="364" w:lineRule="auto"/>
        <w:jc w:val="left"/>
        <w:rPr>
          <w:rFonts w:hint="eastAsia" w:asciiTheme="minorEastAsia" w:hAnsiTheme="minorEastAsia" w:eastAsiaTheme="minorEastAsia" w:cstheme="minorEastAsia"/>
          <w:color w:val="auto"/>
          <w:sz w:val="24"/>
        </w:rPr>
        <w:sectPr>
          <w:pgSz w:w="11910" w:h="16840"/>
          <w:pgMar w:top="1460" w:right="860" w:bottom="1160" w:left="1220" w:header="0" w:footer="970" w:gutter="0"/>
          <w:pgNumType w:fmt="decimal"/>
          <w:cols w:space="720" w:num="1"/>
        </w:sectPr>
      </w:pPr>
    </w:p>
    <w:p w14:paraId="3EE98324">
      <w:pPr>
        <w:pStyle w:val="24"/>
        <w:numPr>
          <w:ilvl w:val="1"/>
          <w:numId w:val="71"/>
        </w:numPr>
        <w:tabs>
          <w:tab w:val="left" w:pos="1065"/>
        </w:tabs>
        <w:spacing w:before="42" w:after="0" w:line="364"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我方提交的投标文件各组成部分的全部内容及资料是不可割离且真实、有效、</w:t>
      </w:r>
      <w:r>
        <w:rPr>
          <w:rFonts w:hint="eastAsia" w:asciiTheme="minorEastAsia" w:hAnsiTheme="minorEastAsia" w:eastAsiaTheme="minorEastAsia" w:cstheme="minorEastAsia"/>
          <w:color w:val="auto"/>
          <w:sz w:val="24"/>
        </w:rPr>
        <w:t>准确、完整和不具有任何误导性的，否则产生不利后果由我方承担责任。</w:t>
      </w:r>
    </w:p>
    <w:p w14:paraId="2D1C8830">
      <w:pPr>
        <w:pStyle w:val="24"/>
        <w:numPr>
          <w:ilvl w:val="1"/>
          <w:numId w:val="71"/>
        </w:numPr>
        <w:tabs>
          <w:tab w:val="left" w:pos="1063"/>
        </w:tabs>
        <w:spacing w:before="1"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6"/>
          <w:sz w:val="24"/>
        </w:rPr>
        <w:t>我方提供的标的价格不高于同期市场价格，否则产生不利后果由我方承担责任。</w:t>
      </w:r>
    </w:p>
    <w:p w14:paraId="2E7F33E5">
      <w:pPr>
        <w:pStyle w:val="24"/>
        <w:numPr>
          <w:ilvl w:val="1"/>
          <w:numId w:val="71"/>
        </w:numPr>
        <w:tabs>
          <w:tab w:val="left" w:pos="1065"/>
        </w:tabs>
        <w:spacing w:before="161" w:after="0" w:line="364"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投标保证金：若出现招标文件第三章规定的不予退还情形，同意贵单位不予退</w:t>
      </w:r>
      <w:r>
        <w:rPr>
          <w:rFonts w:hint="eastAsia" w:asciiTheme="minorEastAsia" w:hAnsiTheme="minorEastAsia" w:eastAsiaTheme="minorEastAsia" w:cstheme="minorEastAsia"/>
          <w:color w:val="auto"/>
          <w:sz w:val="24"/>
        </w:rPr>
        <w:t>还。</w:t>
      </w:r>
    </w:p>
    <w:p w14:paraId="4E90E69E">
      <w:pPr>
        <w:pStyle w:val="24"/>
        <w:numPr>
          <w:ilvl w:val="1"/>
          <w:numId w:val="71"/>
        </w:numPr>
        <w:tabs>
          <w:tab w:val="left" w:pos="1065"/>
        </w:tabs>
        <w:spacing w:before="1" w:after="0" w:line="364"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投标有效期：按照招标文件第三章规定执行，并在招标文件第二章载明的期限</w:t>
      </w:r>
      <w:r>
        <w:rPr>
          <w:rFonts w:hint="eastAsia" w:asciiTheme="minorEastAsia" w:hAnsiTheme="minorEastAsia" w:eastAsiaTheme="minorEastAsia" w:cstheme="minorEastAsia"/>
          <w:color w:val="auto"/>
          <w:sz w:val="24"/>
        </w:rPr>
        <w:t>内保持有效。</w:t>
      </w:r>
    </w:p>
    <w:p w14:paraId="62BE5057">
      <w:pPr>
        <w:pStyle w:val="24"/>
        <w:numPr>
          <w:ilvl w:val="1"/>
          <w:numId w:val="71"/>
        </w:numPr>
        <w:tabs>
          <w:tab w:val="left" w:pos="1063"/>
        </w:tabs>
        <w:spacing w:before="1"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若中标，将按照招标文件、我方投标文件及</w:t>
      </w:r>
      <w:r>
        <w:rPr>
          <w:rFonts w:hint="eastAsia" w:asciiTheme="minorEastAsia" w:hAnsiTheme="minorEastAsia" w:eastAsiaTheme="minorEastAsia" w:cstheme="minorEastAsia"/>
          <w:color w:val="auto"/>
          <w:sz w:val="24"/>
          <w:lang w:eastAsia="zh-CN"/>
        </w:rPr>
        <w:t>企业采购</w:t>
      </w:r>
      <w:r>
        <w:rPr>
          <w:rFonts w:hint="eastAsia" w:asciiTheme="minorEastAsia" w:hAnsiTheme="minorEastAsia" w:eastAsiaTheme="minorEastAsia" w:cstheme="minorEastAsia"/>
          <w:color w:val="auto"/>
          <w:sz w:val="24"/>
        </w:rPr>
        <w:t>合同履行责任和义务。</w:t>
      </w:r>
    </w:p>
    <w:p w14:paraId="163306BC">
      <w:pPr>
        <w:pStyle w:val="24"/>
        <w:numPr>
          <w:ilvl w:val="1"/>
          <w:numId w:val="71"/>
        </w:numPr>
        <w:tabs>
          <w:tab w:val="left" w:pos="1065"/>
        </w:tabs>
        <w:spacing w:before="160" w:after="0" w:line="364"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若贵单位要求，我方同意提供与本项目投标有关的一切资料、数据或文件，并</w:t>
      </w:r>
      <w:r>
        <w:rPr>
          <w:rFonts w:hint="eastAsia" w:asciiTheme="minorEastAsia" w:hAnsiTheme="minorEastAsia" w:eastAsiaTheme="minorEastAsia" w:cstheme="minorEastAsia"/>
          <w:color w:val="auto"/>
          <w:sz w:val="24"/>
        </w:rPr>
        <w:t>完全理解贵单位不一定要接受最低的投标报价或收到的任何投标。</w:t>
      </w:r>
    </w:p>
    <w:p w14:paraId="7B042B61">
      <w:pPr>
        <w:pStyle w:val="24"/>
        <w:numPr>
          <w:ilvl w:val="1"/>
          <w:numId w:val="71"/>
        </w:numPr>
        <w:tabs>
          <w:tab w:val="left" w:pos="1065"/>
        </w:tabs>
        <w:spacing w:before="2" w:after="0" w:line="364"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我方承诺投标文件所提供的全部资料真实可靠，并接受评标委员会、采购人、</w:t>
      </w:r>
      <w:r>
        <w:rPr>
          <w:rFonts w:hint="eastAsia" w:asciiTheme="minorEastAsia" w:hAnsiTheme="minorEastAsia" w:eastAsiaTheme="minorEastAsia" w:cstheme="minorEastAsia"/>
          <w:color w:val="auto"/>
          <w:sz w:val="24"/>
        </w:rPr>
        <w:t>采购代理机构、监管部门进一步审查其中任何资料真实性的要求。</w:t>
      </w:r>
    </w:p>
    <w:p w14:paraId="3EF1DF4C">
      <w:pPr>
        <w:pStyle w:val="24"/>
        <w:numPr>
          <w:ilvl w:val="1"/>
          <w:numId w:val="71"/>
        </w:numPr>
        <w:tabs>
          <w:tab w:val="left" w:pos="1063"/>
        </w:tabs>
        <w:spacing w:before="1" w:after="0" w:line="364" w:lineRule="auto"/>
        <w:ind w:left="220" w:right="45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0"/>
          <w:sz w:val="24"/>
        </w:rPr>
        <w:t xml:space="preserve">除招标文件另有规定外，对于贵单位按照下述联络方式发出的任何信息或通知， </w:t>
      </w:r>
      <w:r>
        <w:rPr>
          <w:rFonts w:hint="eastAsia" w:asciiTheme="minorEastAsia" w:hAnsiTheme="minorEastAsia" w:eastAsiaTheme="minorEastAsia" w:cstheme="minorEastAsia"/>
          <w:color w:val="auto"/>
          <w:sz w:val="24"/>
        </w:rPr>
        <w:t>均视为我方已收悉前述信息或通知的全部内容：</w:t>
      </w:r>
    </w:p>
    <w:p w14:paraId="6AC77DD7">
      <w:pPr>
        <w:pStyle w:val="6"/>
        <w:spacing w:before="1" w:line="364" w:lineRule="auto"/>
        <w:ind w:left="700" w:right="792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通信地址： 邮编：</w:t>
      </w:r>
    </w:p>
    <w:p w14:paraId="7D9BED0F">
      <w:pPr>
        <w:pStyle w:val="6"/>
        <w:spacing w:before="1" w:line="364" w:lineRule="auto"/>
        <w:ind w:left="700" w:right="96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联系方法：（包括但不限于：联系人、联系电话、手机、传真、电子邮箱等） 投标人：（全称并加盖单位公章）</w:t>
      </w:r>
    </w:p>
    <w:p w14:paraId="549ABCD0">
      <w:pPr>
        <w:pStyle w:val="6"/>
        <w:tabs>
          <w:tab w:val="left" w:pos="1899"/>
          <w:tab w:val="left" w:pos="2499"/>
          <w:tab w:val="left" w:pos="3099"/>
        </w:tabs>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rPr>
        <w:tab/>
      </w:r>
      <w:r>
        <w:rPr>
          <w:rFonts w:hint="eastAsia" w:asciiTheme="minorEastAsia" w:hAnsiTheme="minorEastAsia" w:eastAsiaTheme="minorEastAsia" w:cstheme="minorEastAsia"/>
          <w:color w:val="auto"/>
        </w:rPr>
        <w:t>年</w:t>
      </w:r>
      <w:r>
        <w:rPr>
          <w:rFonts w:hint="eastAsia" w:asciiTheme="minorEastAsia" w:hAnsiTheme="minorEastAsia" w:eastAsiaTheme="minorEastAsia" w:cstheme="minorEastAsia"/>
          <w:color w:val="auto"/>
        </w:rPr>
        <w:tab/>
      </w:r>
      <w:r>
        <w:rPr>
          <w:rFonts w:hint="eastAsia" w:asciiTheme="minorEastAsia" w:hAnsiTheme="minorEastAsia" w:eastAsiaTheme="minorEastAsia" w:cstheme="minorEastAsia"/>
          <w:color w:val="auto"/>
        </w:rPr>
        <w:t>月</w:t>
      </w:r>
      <w:r>
        <w:rPr>
          <w:rFonts w:hint="eastAsia" w:asciiTheme="minorEastAsia" w:hAnsiTheme="minorEastAsia" w:eastAsiaTheme="minorEastAsia" w:cstheme="minorEastAsia"/>
          <w:color w:val="auto"/>
        </w:rPr>
        <w:tab/>
      </w:r>
      <w:r>
        <w:rPr>
          <w:rFonts w:hint="eastAsia" w:asciiTheme="minorEastAsia" w:hAnsiTheme="minorEastAsia" w:eastAsiaTheme="minorEastAsia" w:cstheme="minorEastAsia"/>
          <w:color w:val="auto"/>
        </w:rPr>
        <w:t>日</w:t>
      </w:r>
    </w:p>
    <w:p w14:paraId="457D1FF1">
      <w:pPr>
        <w:spacing w:after="0"/>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785BDAFB">
      <w:pPr>
        <w:pStyle w:val="4"/>
        <w:spacing w:before="42" w:line="364" w:lineRule="auto"/>
        <w:ind w:right="-70" w:rightChars="0"/>
        <w:jc w:val="center"/>
        <w:rPr>
          <w:rFonts w:hint="eastAsia" w:asciiTheme="minorEastAsia" w:hAnsiTheme="minorEastAsia" w:eastAsiaTheme="minorEastAsia" w:cstheme="minorEastAsia"/>
          <w:color w:val="auto"/>
        </w:rPr>
      </w:pPr>
      <w:bookmarkStart w:id="55" w:name="二、投标人的资格及资信证明文件"/>
      <w:bookmarkEnd w:id="55"/>
      <w:r>
        <w:rPr>
          <w:rFonts w:hint="eastAsia" w:asciiTheme="minorEastAsia" w:hAnsiTheme="minorEastAsia" w:eastAsiaTheme="minorEastAsia" w:cstheme="minorEastAsia"/>
          <w:color w:val="auto"/>
        </w:rPr>
        <w:t>二、投标人的资格及资信证明文件</w:t>
      </w:r>
      <w:bookmarkStart w:id="56" w:name="二-1单位授权书（若有）"/>
      <w:bookmarkEnd w:id="56"/>
    </w:p>
    <w:p w14:paraId="07B41DA5">
      <w:pPr>
        <w:pStyle w:val="4"/>
        <w:spacing w:before="42" w:line="364" w:lineRule="auto"/>
        <w:ind w:right="-70" w:rightChars="0"/>
        <w:jc w:val="cente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二-1 单位授权书（若有）</w:t>
      </w:r>
    </w:p>
    <w:p w14:paraId="146FB318">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致：</w:t>
      </w:r>
      <w:r>
        <w:rPr>
          <w:rFonts w:hint="eastAsia" w:asciiTheme="minorEastAsia" w:hAnsiTheme="minorEastAsia" w:eastAsiaTheme="minorEastAsia" w:cstheme="minorEastAsia"/>
          <w:color w:val="auto"/>
          <w:u w:val="single"/>
        </w:rPr>
        <w:t>（采购人或采购代理机构）</w:t>
      </w:r>
    </w:p>
    <w:p w14:paraId="7D87FA18">
      <w:pPr>
        <w:pStyle w:val="6"/>
        <w:tabs>
          <w:tab w:val="left" w:pos="8775"/>
        </w:tabs>
        <w:spacing w:before="161"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我方的单位负责人</w:t>
      </w:r>
      <w:r>
        <w:rPr>
          <w:rFonts w:hint="eastAsia" w:asciiTheme="minorEastAsia" w:hAnsiTheme="minorEastAsia" w:eastAsiaTheme="minorEastAsia" w:cstheme="minorEastAsia"/>
          <w:color w:val="auto"/>
          <w:u w:val="single"/>
        </w:rPr>
        <w:t>（填写“单位负责人全名”）</w:t>
      </w:r>
      <w:r>
        <w:rPr>
          <w:rFonts w:hint="eastAsia" w:asciiTheme="minorEastAsia" w:hAnsiTheme="minorEastAsia" w:eastAsiaTheme="minorEastAsia" w:cstheme="minorEastAsia"/>
          <w:color w:val="auto"/>
        </w:rPr>
        <w:t>授权</w:t>
      </w:r>
      <w:r>
        <w:rPr>
          <w:rFonts w:hint="eastAsia" w:asciiTheme="minorEastAsia" w:hAnsiTheme="minorEastAsia" w:eastAsiaTheme="minorEastAsia" w:cstheme="minorEastAsia"/>
          <w:color w:val="auto"/>
          <w:u w:val="single"/>
        </w:rPr>
        <w:t xml:space="preserve">（填写“投标人代表全名”） </w:t>
      </w:r>
      <w:r>
        <w:rPr>
          <w:rFonts w:hint="eastAsia" w:asciiTheme="minorEastAsia" w:hAnsiTheme="minorEastAsia" w:eastAsiaTheme="minorEastAsia" w:cstheme="minorEastAsia"/>
          <w:color w:val="auto"/>
        </w:rPr>
        <w:t>为投标人代表</w:t>
      </w:r>
      <w:r>
        <w:rPr>
          <w:rFonts w:hint="eastAsia" w:asciiTheme="minorEastAsia" w:hAnsiTheme="minorEastAsia" w:eastAsiaTheme="minorEastAsia" w:cstheme="minorEastAsia"/>
          <w:color w:val="auto"/>
          <w:spacing w:val="-12"/>
        </w:rPr>
        <w:t>，</w:t>
      </w:r>
      <w:r>
        <w:rPr>
          <w:rFonts w:hint="eastAsia" w:asciiTheme="minorEastAsia" w:hAnsiTheme="minorEastAsia" w:eastAsiaTheme="minorEastAsia" w:cstheme="minorEastAsia"/>
          <w:color w:val="auto"/>
        </w:rPr>
        <w:t>代表我方参</w:t>
      </w:r>
      <w:r>
        <w:rPr>
          <w:rFonts w:hint="eastAsia" w:asciiTheme="minorEastAsia" w:hAnsiTheme="minorEastAsia" w:eastAsiaTheme="minorEastAsia" w:cstheme="minorEastAsia"/>
          <w:color w:val="auto"/>
          <w:spacing w:val="-12"/>
        </w:rPr>
        <w:t>加</w:t>
      </w:r>
      <w:r>
        <w:rPr>
          <w:rFonts w:hint="eastAsia" w:asciiTheme="minorEastAsia" w:hAnsiTheme="minorEastAsia" w:eastAsiaTheme="minorEastAsia" w:cstheme="minorEastAsia"/>
          <w:color w:val="auto"/>
          <w:u w:val="single"/>
        </w:rPr>
        <w:t>（填</w:t>
      </w:r>
      <w:r>
        <w:rPr>
          <w:rFonts w:hint="eastAsia" w:asciiTheme="minorEastAsia" w:hAnsiTheme="minorEastAsia" w:eastAsiaTheme="minorEastAsia" w:cstheme="minorEastAsia"/>
          <w:color w:val="auto"/>
          <w:spacing w:val="-12"/>
          <w:u w:val="single"/>
        </w:rPr>
        <w:t>写</w:t>
      </w:r>
      <w:r>
        <w:rPr>
          <w:rFonts w:hint="eastAsia" w:asciiTheme="minorEastAsia" w:hAnsiTheme="minorEastAsia" w:eastAsiaTheme="minorEastAsia" w:cstheme="minorEastAsia"/>
          <w:color w:val="auto"/>
          <w:u w:val="single"/>
        </w:rPr>
        <w:t>“项目名称</w:t>
      </w:r>
      <w:r>
        <w:rPr>
          <w:rFonts w:hint="eastAsia" w:asciiTheme="minorEastAsia" w:hAnsiTheme="minorEastAsia" w:eastAsiaTheme="minorEastAsia" w:cstheme="minorEastAsia"/>
          <w:color w:val="auto"/>
          <w:spacing w:val="-12"/>
          <w:u w:val="single"/>
        </w:rPr>
        <w:t>”）</w:t>
      </w:r>
      <w:r>
        <w:rPr>
          <w:rFonts w:hint="eastAsia" w:asciiTheme="minorEastAsia" w:hAnsiTheme="minorEastAsia" w:eastAsiaTheme="minorEastAsia" w:cstheme="minorEastAsia"/>
          <w:color w:val="auto"/>
        </w:rPr>
        <w:t>项</w:t>
      </w:r>
      <w:r>
        <w:rPr>
          <w:rFonts w:hint="eastAsia" w:asciiTheme="minorEastAsia" w:hAnsiTheme="minorEastAsia" w:eastAsiaTheme="minorEastAsia" w:cstheme="minorEastAsia"/>
          <w:color w:val="auto"/>
          <w:spacing w:val="-10"/>
        </w:rPr>
        <w:t>目</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rPr>
        <w:t>项目编号</w:t>
      </w:r>
      <w:r>
        <w:rPr>
          <w:rFonts w:hint="eastAsia" w:asciiTheme="minorEastAsia" w:hAnsiTheme="minorEastAsia" w:eastAsiaTheme="minorEastAsia" w:cstheme="minorEastAsia"/>
          <w:color w:val="auto"/>
          <w:spacing w:val="-12"/>
        </w:rPr>
        <w:t>：</w:t>
      </w:r>
      <w:r>
        <w:rPr>
          <w:rFonts w:hint="eastAsia" w:asciiTheme="minorEastAsia" w:hAnsiTheme="minorEastAsia" w:eastAsiaTheme="minorEastAsia" w:cstheme="minorEastAsia"/>
          <w:color w:val="auto"/>
          <w:spacing w:val="-12"/>
          <w:u w:val="single"/>
        </w:rPr>
        <w:t xml:space="preserve"> </w:t>
      </w:r>
      <w:r>
        <w:rPr>
          <w:rFonts w:hint="eastAsia" w:asciiTheme="minorEastAsia" w:hAnsiTheme="minorEastAsia" w:eastAsiaTheme="minorEastAsia" w:cstheme="minorEastAsia"/>
          <w:color w:val="auto"/>
          <w:spacing w:val="-12"/>
          <w:u w:val="single"/>
        </w:rPr>
        <w:tab/>
      </w:r>
      <w:r>
        <w:rPr>
          <w:rFonts w:hint="eastAsia" w:asciiTheme="minorEastAsia" w:hAnsiTheme="minorEastAsia" w:eastAsiaTheme="minorEastAsia" w:cstheme="minorEastAsia"/>
          <w:color w:val="auto"/>
          <w:spacing w:val="-10"/>
        </w:rPr>
        <w:t>）</w:t>
      </w:r>
      <w:r>
        <w:rPr>
          <w:rFonts w:hint="eastAsia" w:asciiTheme="minorEastAsia" w:hAnsiTheme="minorEastAsia" w:eastAsiaTheme="minorEastAsia" w:cstheme="minorEastAsia"/>
          <w:color w:val="auto"/>
        </w:rPr>
        <w:t>的投标</w:t>
      </w:r>
      <w:r>
        <w:rPr>
          <w:rFonts w:hint="eastAsia" w:asciiTheme="minorEastAsia" w:hAnsiTheme="minorEastAsia" w:eastAsiaTheme="minorEastAsia" w:cstheme="minorEastAsia"/>
          <w:color w:val="auto"/>
          <w:spacing w:val="-44"/>
        </w:rPr>
        <w:t>，</w:t>
      </w:r>
      <w:r>
        <w:rPr>
          <w:rFonts w:hint="eastAsia" w:asciiTheme="minorEastAsia" w:hAnsiTheme="minorEastAsia" w:eastAsiaTheme="minorEastAsia" w:cstheme="minorEastAsia"/>
          <w:color w:val="auto"/>
        </w:rPr>
        <w:t>全权代表我方处理投标过程的一切事宜</w:t>
      </w:r>
      <w:r>
        <w:rPr>
          <w:rFonts w:hint="eastAsia" w:asciiTheme="minorEastAsia" w:hAnsiTheme="minorEastAsia" w:eastAsiaTheme="minorEastAsia" w:cstheme="minorEastAsia"/>
          <w:color w:val="auto"/>
          <w:spacing w:val="-44"/>
        </w:rPr>
        <w:t>，</w:t>
      </w:r>
      <w:r>
        <w:rPr>
          <w:rFonts w:hint="eastAsia" w:asciiTheme="minorEastAsia" w:hAnsiTheme="minorEastAsia" w:eastAsiaTheme="minorEastAsia" w:cstheme="minorEastAsia"/>
          <w:color w:val="auto"/>
        </w:rPr>
        <w:t>包括但不限于</w:t>
      </w:r>
      <w:r>
        <w:rPr>
          <w:rFonts w:hint="eastAsia" w:asciiTheme="minorEastAsia" w:hAnsiTheme="minorEastAsia" w:eastAsiaTheme="minorEastAsia" w:cstheme="minorEastAsia"/>
          <w:color w:val="auto"/>
          <w:spacing w:val="-44"/>
        </w:rPr>
        <w:t>：</w:t>
      </w:r>
      <w:r>
        <w:rPr>
          <w:rFonts w:hint="eastAsia" w:asciiTheme="minorEastAsia" w:hAnsiTheme="minorEastAsia" w:eastAsiaTheme="minorEastAsia" w:cstheme="minorEastAsia"/>
          <w:color w:val="auto"/>
        </w:rPr>
        <w:t>投标</w:t>
      </w:r>
      <w:r>
        <w:rPr>
          <w:rFonts w:hint="eastAsia" w:asciiTheme="minorEastAsia" w:hAnsiTheme="minorEastAsia" w:eastAsiaTheme="minorEastAsia" w:cstheme="minorEastAsia"/>
          <w:color w:val="auto"/>
          <w:spacing w:val="-44"/>
        </w:rPr>
        <w:t>、</w:t>
      </w:r>
      <w:r>
        <w:rPr>
          <w:rFonts w:hint="eastAsia" w:asciiTheme="minorEastAsia" w:hAnsiTheme="minorEastAsia" w:eastAsiaTheme="minorEastAsia" w:cstheme="minorEastAsia"/>
          <w:color w:val="auto"/>
        </w:rPr>
        <w:t>参加开标</w:t>
      </w:r>
      <w:r>
        <w:rPr>
          <w:rFonts w:hint="eastAsia" w:asciiTheme="minorEastAsia" w:hAnsiTheme="minorEastAsia" w:eastAsiaTheme="minorEastAsia" w:cstheme="minorEastAsia"/>
          <w:color w:val="auto"/>
          <w:spacing w:val="-41"/>
        </w:rPr>
        <w:t>、</w:t>
      </w:r>
      <w:r>
        <w:rPr>
          <w:rFonts w:hint="eastAsia" w:asciiTheme="minorEastAsia" w:hAnsiTheme="minorEastAsia" w:eastAsiaTheme="minorEastAsia" w:cstheme="minorEastAsia"/>
          <w:color w:val="auto"/>
        </w:rPr>
        <w:t>谈判</w:t>
      </w:r>
      <w:r>
        <w:rPr>
          <w:rFonts w:hint="eastAsia" w:asciiTheme="minorEastAsia" w:hAnsiTheme="minorEastAsia" w:eastAsiaTheme="minorEastAsia" w:cstheme="minorEastAsia"/>
          <w:color w:val="auto"/>
          <w:spacing w:val="-14"/>
        </w:rPr>
        <w:t>、</w:t>
      </w:r>
      <w:r>
        <w:rPr>
          <w:rFonts w:hint="eastAsia" w:asciiTheme="minorEastAsia" w:hAnsiTheme="minorEastAsia" w:eastAsiaTheme="minorEastAsia" w:cstheme="minorEastAsia"/>
          <w:color w:val="auto"/>
        </w:rPr>
        <w:t>澄清</w:t>
      </w:r>
      <w:r>
        <w:rPr>
          <w:rFonts w:hint="eastAsia" w:asciiTheme="minorEastAsia" w:hAnsiTheme="minorEastAsia" w:eastAsiaTheme="minorEastAsia" w:cstheme="minorEastAsia"/>
          <w:color w:val="auto"/>
          <w:spacing w:val="-108"/>
        </w:rPr>
        <w:t>、</w:t>
      </w:r>
      <w:r>
        <w:rPr>
          <w:rFonts w:hint="eastAsia" w:asciiTheme="minorEastAsia" w:hAnsiTheme="minorEastAsia" w:eastAsiaTheme="minorEastAsia" w:cstheme="minorEastAsia"/>
          <w:color w:val="auto"/>
        </w:rPr>
        <w:t>签约等</w:t>
      </w:r>
      <w:r>
        <w:rPr>
          <w:rFonts w:hint="eastAsia" w:asciiTheme="minorEastAsia" w:hAnsiTheme="minorEastAsia" w:eastAsiaTheme="minorEastAsia" w:cstheme="minorEastAsia"/>
          <w:color w:val="auto"/>
          <w:spacing w:val="-106"/>
        </w:rPr>
        <w:t>。</w:t>
      </w:r>
      <w:r>
        <w:rPr>
          <w:rFonts w:hint="eastAsia" w:asciiTheme="minorEastAsia" w:hAnsiTheme="minorEastAsia" w:eastAsiaTheme="minorEastAsia" w:cstheme="minorEastAsia"/>
          <w:color w:val="auto"/>
        </w:rPr>
        <w:t>投标人代表在投标过程中所签署的一切文件和处理与之有关的一切事务</w:t>
      </w:r>
      <w:r>
        <w:rPr>
          <w:rFonts w:hint="eastAsia" w:asciiTheme="minorEastAsia" w:hAnsiTheme="minorEastAsia" w:eastAsiaTheme="minorEastAsia" w:cstheme="minorEastAsia"/>
          <w:color w:val="auto"/>
          <w:spacing w:val="-17"/>
        </w:rPr>
        <w:t xml:space="preserve">， </w:t>
      </w:r>
      <w:r>
        <w:rPr>
          <w:rFonts w:hint="eastAsia" w:asciiTheme="minorEastAsia" w:hAnsiTheme="minorEastAsia" w:eastAsiaTheme="minorEastAsia" w:cstheme="minorEastAsia"/>
          <w:color w:val="auto"/>
        </w:rPr>
        <w:t>我方均予以认可并对此承担责任。</w:t>
      </w:r>
    </w:p>
    <w:p w14:paraId="55774672">
      <w:pPr>
        <w:pStyle w:val="6"/>
        <w:spacing w:before="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投标人代表无转委权。特此授权。</w:t>
      </w:r>
    </w:p>
    <w:p w14:paraId="00D33835">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（以下无正文）</w:t>
      </w:r>
    </w:p>
    <w:p w14:paraId="6480B566">
      <w:pPr>
        <w:pStyle w:val="6"/>
        <w:tabs>
          <w:tab w:val="left" w:pos="3339"/>
          <w:tab w:val="left" w:pos="5739"/>
          <w:tab w:val="left" w:pos="7719"/>
        </w:tabs>
        <w:spacing w:before="161" w:line="364" w:lineRule="auto"/>
        <w:ind w:left="700" w:right="2104"/>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单位负责人：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身份证号：</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手机：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rPr>
        <w:t>投标人代表：</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身份证号：</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手机：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rPr>
        <w:t>授权方</w:t>
      </w:r>
    </w:p>
    <w:p w14:paraId="60847C00">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p>
    <w:p w14:paraId="72D76A2E">
      <w:pPr>
        <w:pStyle w:val="6"/>
        <w:spacing w:before="161"/>
        <w:ind w:left="0" w:right="577"/>
        <w:jc w:val="right"/>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签署日期： 年 月 日</w:t>
      </w:r>
    </w:p>
    <w:p w14:paraId="66E71667">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附：单位负责人、投标人代表的身份证正反面复印件</w:t>
      </w:r>
    </w:p>
    <w:p w14:paraId="3CD8365B">
      <w:pPr>
        <w:pStyle w:val="6"/>
        <w:spacing w:before="10"/>
        <w:ind w:left="0"/>
        <w:rPr>
          <w:rFonts w:hint="eastAsia" w:asciiTheme="minorEastAsia" w:hAnsiTheme="minorEastAsia" w:eastAsiaTheme="minorEastAsia" w:cstheme="minorEastAsia"/>
          <w:color w:val="auto"/>
          <w:sz w:val="19"/>
        </w:rPr>
      </w:pPr>
      <w:r>
        <w:rPr>
          <w:rFonts w:hint="eastAsia" w:asciiTheme="minorEastAsia" w:hAnsiTheme="minorEastAsia" w:eastAsiaTheme="minorEastAsia" w:cstheme="minorEastAsia"/>
          <w:color w:val="auto"/>
        </w:rPr>
        <mc:AlternateContent>
          <mc:Choice Requires="wpg">
            <w:drawing>
              <wp:anchor distT="0" distB="0" distL="0" distR="0" simplePos="0" relativeHeight="251662336" behindDoc="1" locked="0" layoutInCell="1" allowOverlap="1">
                <wp:simplePos x="0" y="0"/>
                <wp:positionH relativeFrom="page">
                  <wp:posOffset>908050</wp:posOffset>
                </wp:positionH>
                <wp:positionV relativeFrom="paragraph">
                  <wp:posOffset>185420</wp:posOffset>
                </wp:positionV>
                <wp:extent cx="5743575" cy="309880"/>
                <wp:effectExtent l="0" t="0" r="9525" b="14605"/>
                <wp:wrapTopAndBottom/>
                <wp:docPr id="18" name="组合 14"/>
                <wp:cNvGraphicFramePr/>
                <a:graphic xmlns:a="http://schemas.openxmlformats.org/drawingml/2006/main">
                  <a:graphicData uri="http://schemas.microsoft.com/office/word/2010/wordprocessingGroup">
                    <wpg:wgp>
                      <wpg:cNvGrpSpPr/>
                      <wpg:grpSpPr>
                        <a:xfrm>
                          <a:off x="0" y="0"/>
                          <a:ext cx="5743575" cy="309880"/>
                          <a:chOff x="1430" y="293"/>
                          <a:chExt cx="9045" cy="488"/>
                        </a:xfrm>
                      </wpg:grpSpPr>
                      <pic:pic xmlns:pic="http://schemas.openxmlformats.org/drawingml/2006/picture">
                        <pic:nvPicPr>
                          <pic:cNvPr id="16" name="图片 15"/>
                          <pic:cNvPicPr>
                            <a:picLocks noChangeAspect="1"/>
                          </pic:cNvPicPr>
                        </pic:nvPicPr>
                        <pic:blipFill>
                          <a:blip r:embed="rId16"/>
                          <a:stretch>
                            <a:fillRect/>
                          </a:stretch>
                        </pic:blipFill>
                        <pic:spPr>
                          <a:xfrm>
                            <a:off x="1430" y="292"/>
                            <a:ext cx="9045" cy="10"/>
                          </a:xfrm>
                          <a:prstGeom prst="rect">
                            <a:avLst/>
                          </a:prstGeom>
                          <a:noFill/>
                          <a:ln>
                            <a:noFill/>
                          </a:ln>
                        </pic:spPr>
                      </pic:pic>
                      <pic:pic xmlns:pic="http://schemas.openxmlformats.org/drawingml/2006/picture">
                        <pic:nvPicPr>
                          <pic:cNvPr id="17" name="图片 16"/>
                          <pic:cNvPicPr>
                            <a:picLocks noChangeAspect="1"/>
                          </pic:cNvPicPr>
                        </pic:nvPicPr>
                        <pic:blipFill>
                          <a:blip r:embed="rId17"/>
                          <a:stretch>
                            <a:fillRect/>
                          </a:stretch>
                        </pic:blipFill>
                        <pic:spPr>
                          <a:xfrm>
                            <a:off x="1430" y="292"/>
                            <a:ext cx="9045" cy="488"/>
                          </a:xfrm>
                          <a:prstGeom prst="rect">
                            <a:avLst/>
                          </a:prstGeom>
                          <a:noFill/>
                          <a:ln>
                            <a:noFill/>
                          </a:ln>
                        </pic:spPr>
                      </pic:pic>
                    </wpg:wgp>
                  </a:graphicData>
                </a:graphic>
              </wp:anchor>
            </w:drawing>
          </mc:Choice>
          <mc:Fallback>
            <w:pict>
              <v:group id="组合 14" o:spid="_x0000_s1026" o:spt="203" style="position:absolute;left:0pt;margin-left:71.5pt;margin-top:14.6pt;height:24.4pt;width:452.25pt;mso-position-horizontal-relative:page;mso-wrap-distance-bottom:0pt;mso-wrap-distance-top:0pt;z-index:-251654144;mso-width-relative:page;mso-height-relative:page;" coordorigin="1430,293" coordsize="9045,488" o:gfxdata="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">
                <o:lock v:ext="edit" aspectratio="f"/>
                <v:shape id="图片 15" o:spid="_x0000_s1026" o:spt="75" type="#_x0000_t75" style="position:absolute;left:1430;top:292;height:10;width:9045;" filled="f" o:preferrelative="t" stroked="f" coordsize="21600,21600" o:gfxdata="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m37du8AAAA&#10;2wAAAA8AAAAAAAAAAQAgAAAAIgAAAGRycy9kb3ducmV2LnhtbFBLAQIUABQAAAAIAIdO4kAzLwWe&#10;OwAAADkAAAAQAAAAAAAAAAEAIAAAAAsBAABkcnMvc2hhcGV4bWwueG1sUEsFBgAAAAAGAAYAWwEA&#10;ALUDAAAAAA==&#10;">
                  <v:fill on="f" focussize="0,0"/>
                  <v:stroke on="f"/>
                  <v:imagedata r:id="rId16" o:title=""/>
                  <o:lock v:ext="edit" aspectratio="t"/>
                </v:shape>
                <v:shape id="图片 16" o:spid="_x0000_s1026" o:spt="75" type="#_x0000_t75" style="position:absolute;left:1430;top:292;height:488;width:9045;" filled="f" o:preferrelative="t" stroked="f" coordsize="21600,21600" o:gfxdata="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EHKGrsAAADb&#10;AAAADwAAAAAAAAABACAAAAAiAAAAZHJzL2Rvd25yZXYueG1sUEsBAhQAFAAAAAgAh07iQDMvBZ47&#10;AAAAOQAAABAAAAAAAAAAAQAgAAAACgEAAGRycy9zaGFwZXhtbC54bWxQSwUGAAAAAAYABgBbAQAA&#10;tAMAAAAA&#10;">
                  <v:fill on="f" focussize="0,0"/>
                  <v:stroke on="f"/>
                  <v:imagedata r:id="rId17" o:title=""/>
                  <o:lock v:ext="edit" aspectratio="t"/>
                </v:shape>
                <w10:wrap type="topAndBottom"/>
              </v:group>
            </w:pict>
          </mc:Fallback>
        </mc:AlternateContent>
      </w:r>
    </w:p>
    <w:p w14:paraId="7110BBDC">
      <w:pPr>
        <w:pStyle w:val="6"/>
        <w:spacing w:before="53"/>
        <w:ind w:left="245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要求：真实有效且内容完整、清晰、整洁。</w:t>
      </w:r>
    </w:p>
    <w:p w14:paraId="7C59EF84">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6789E5CA">
      <w:pPr>
        <w:pStyle w:val="6"/>
        <w:spacing w:before="16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1、企业（银行、保险、石油石化、电力、电信等行业除外）</w:t>
      </w:r>
      <w:r>
        <w:rPr>
          <w:rFonts w:hint="eastAsia" w:asciiTheme="minorEastAsia" w:hAnsiTheme="minorEastAsia" w:eastAsiaTheme="minorEastAsia" w:cstheme="minorEastAsia"/>
          <w:color w:val="auto"/>
          <w:spacing w:val="-2"/>
        </w:rPr>
        <w:t>、事业单位和社会团</w:t>
      </w:r>
      <w:r>
        <w:rPr>
          <w:rFonts w:hint="eastAsia" w:asciiTheme="minorEastAsia" w:hAnsiTheme="minorEastAsia" w:eastAsiaTheme="minorEastAsia" w:cstheme="minorEastAsia"/>
          <w:color w:val="auto"/>
          <w:spacing w:val="-10"/>
        </w:rPr>
        <w:t>体法人的“单位负责人”指法定代表人，即与实际提交的“营业执照等证明文件”载明</w:t>
      </w:r>
      <w:r>
        <w:rPr>
          <w:rFonts w:hint="eastAsia" w:asciiTheme="minorEastAsia" w:hAnsiTheme="minorEastAsia" w:eastAsiaTheme="minorEastAsia" w:cstheme="minorEastAsia"/>
          <w:color w:val="auto"/>
        </w:rPr>
        <w:t>的一致。</w:t>
      </w:r>
    </w:p>
    <w:p w14:paraId="22D2E571">
      <w:pPr>
        <w:pStyle w:val="6"/>
        <w:spacing w:before="2" w:line="364" w:lineRule="auto"/>
        <w:ind w:right="577" w:firstLine="480"/>
        <w:jc w:val="both"/>
        <w:rPr>
          <w:rFonts w:hint="eastAsia" w:asciiTheme="minorEastAsia" w:hAnsiTheme="minorEastAsia" w:eastAsiaTheme="minorEastAsia" w:cstheme="minorEastAsia"/>
          <w:color w:val="auto"/>
          <w:lang w:eastAsia="zh-CN"/>
        </w:rPr>
        <w:sectPr>
          <w:pgSz w:w="11910" w:h="16840"/>
          <w:pgMar w:top="1460" w:right="860" w:bottom="1160" w:left="1220" w:header="0" w:footer="970" w:gutter="0"/>
          <w:pgNumType w:fmt="decimal"/>
          <w:cols w:space="720" w:num="1"/>
        </w:sectPr>
      </w:pPr>
      <w:r>
        <w:rPr>
          <w:rFonts w:hint="eastAsia" w:asciiTheme="minorEastAsia" w:hAnsiTheme="minorEastAsia" w:eastAsiaTheme="minorEastAsia" w:cstheme="minorEastAsia"/>
          <w:color w:val="auto"/>
        </w:rPr>
        <w:t>2</w:t>
      </w:r>
      <w:r>
        <w:rPr>
          <w:rFonts w:hint="eastAsia" w:asciiTheme="minorEastAsia" w:hAnsiTheme="minorEastAsia" w:eastAsiaTheme="minorEastAsia" w:cstheme="minorEastAsia"/>
          <w:color w:val="auto"/>
          <w:spacing w:val="-1"/>
        </w:rPr>
        <w:t>、银行、保险、石油石化、电力、电信等行业：以法人身份参加投标的，“单位</w:t>
      </w:r>
      <w:r>
        <w:rPr>
          <w:rFonts w:hint="eastAsia" w:asciiTheme="minorEastAsia" w:hAnsiTheme="minorEastAsia" w:eastAsiaTheme="minorEastAsia" w:cstheme="minorEastAsia"/>
          <w:color w:val="auto"/>
          <w:spacing w:val="-10"/>
        </w:rPr>
        <w:t>负责人”指法定代表人，即与实际提交的“营业执照等证明文件”载明的一致；以非法人身份参加投标的，“单位负责人”指代表单位行使职权的主要负责人，即与实际提交</w:t>
      </w:r>
      <w:r>
        <w:rPr>
          <w:rFonts w:hint="eastAsia" w:asciiTheme="minorEastAsia" w:hAnsiTheme="minorEastAsia" w:eastAsiaTheme="minorEastAsia" w:cstheme="minorEastAsia"/>
          <w:color w:val="auto"/>
        </w:rPr>
        <w:t>的“营业执照等证明文件”载明的一致</w:t>
      </w:r>
      <w:r>
        <w:rPr>
          <w:rFonts w:hint="eastAsia" w:asciiTheme="minorEastAsia" w:hAnsiTheme="minorEastAsia" w:eastAsiaTheme="minorEastAsia" w:cstheme="minorEastAsia"/>
          <w:color w:val="auto"/>
          <w:lang w:eastAsia="zh-CN"/>
        </w:rPr>
        <w:t>。</w:t>
      </w:r>
    </w:p>
    <w:p w14:paraId="2A14D24B">
      <w:pPr>
        <w:pStyle w:val="6"/>
        <w:spacing w:before="42" w:line="364" w:lineRule="auto"/>
        <w:ind w:left="0" w:leftChars="0" w:right="577" w:firstLine="0" w:firstLineChars="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3、投标人（自然人除外）：</w:t>
      </w:r>
      <w:r>
        <w:rPr>
          <w:rFonts w:hint="eastAsia" w:asciiTheme="minorEastAsia" w:hAnsiTheme="minorEastAsia" w:eastAsiaTheme="minorEastAsia" w:cstheme="minorEastAsia"/>
          <w:color w:val="auto"/>
          <w:spacing w:val="-1"/>
        </w:rPr>
        <w:t>若投标人代表为单位授权的委托代理人，应提供本授</w:t>
      </w:r>
      <w:r>
        <w:rPr>
          <w:rFonts w:hint="eastAsia" w:asciiTheme="minorEastAsia" w:hAnsiTheme="minorEastAsia" w:eastAsiaTheme="minorEastAsia" w:cstheme="minorEastAsia"/>
          <w:color w:val="auto"/>
          <w:spacing w:val="-10"/>
        </w:rPr>
        <w:t>权书；若投标人代表为单位负责人，应在此项下提交其身份证正反面复印件，可不提供</w:t>
      </w:r>
      <w:r>
        <w:rPr>
          <w:rFonts w:hint="eastAsia" w:asciiTheme="minorEastAsia" w:hAnsiTheme="minorEastAsia" w:eastAsiaTheme="minorEastAsia" w:cstheme="minorEastAsia"/>
          <w:color w:val="auto"/>
        </w:rPr>
        <w:t>本授权书。</w:t>
      </w:r>
    </w:p>
    <w:p w14:paraId="716EE02D">
      <w:pPr>
        <w:pStyle w:val="6"/>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4、投标人为自然人的，可不填写本授权书。</w:t>
      </w:r>
    </w:p>
    <w:p w14:paraId="739BE6DC">
      <w:pPr>
        <w:rPr>
          <w:rFonts w:hint="eastAsia" w:asciiTheme="minorEastAsia" w:hAnsiTheme="minorEastAsia" w:eastAsiaTheme="minorEastAsia" w:cstheme="minorEastAsia"/>
          <w:color w:val="auto"/>
        </w:rPr>
      </w:pPr>
    </w:p>
    <w:p w14:paraId="0629FE3E">
      <w:pPr>
        <w:pStyle w:val="21"/>
        <w:rPr>
          <w:rFonts w:hint="eastAsia" w:asciiTheme="minorEastAsia" w:hAnsiTheme="minorEastAsia" w:eastAsiaTheme="minorEastAsia" w:cstheme="minorEastAsia"/>
          <w:color w:val="auto"/>
        </w:rPr>
      </w:pPr>
    </w:p>
    <w:p w14:paraId="3531B721">
      <w:pPr>
        <w:pStyle w:val="21"/>
        <w:rPr>
          <w:rFonts w:hint="eastAsia" w:asciiTheme="minorEastAsia" w:hAnsiTheme="minorEastAsia" w:eastAsiaTheme="minorEastAsia" w:cstheme="minorEastAsia"/>
          <w:color w:val="auto"/>
        </w:rPr>
      </w:pPr>
    </w:p>
    <w:p w14:paraId="1BDB1E78">
      <w:pPr>
        <w:pStyle w:val="21"/>
        <w:rPr>
          <w:rFonts w:hint="eastAsia" w:asciiTheme="minorEastAsia" w:hAnsiTheme="minorEastAsia" w:eastAsiaTheme="minorEastAsia" w:cstheme="minorEastAsia"/>
          <w:color w:val="auto"/>
        </w:rPr>
      </w:pPr>
    </w:p>
    <w:p w14:paraId="2D1A0EB0">
      <w:pPr>
        <w:pStyle w:val="21"/>
        <w:rPr>
          <w:rFonts w:hint="eastAsia" w:asciiTheme="minorEastAsia" w:hAnsiTheme="minorEastAsia" w:eastAsiaTheme="minorEastAsia" w:cstheme="minorEastAsia"/>
          <w:color w:val="auto"/>
        </w:rPr>
      </w:pPr>
    </w:p>
    <w:p w14:paraId="2136948F">
      <w:pPr>
        <w:pStyle w:val="21"/>
        <w:rPr>
          <w:rFonts w:hint="eastAsia" w:asciiTheme="minorEastAsia" w:hAnsiTheme="minorEastAsia" w:eastAsiaTheme="minorEastAsia" w:cstheme="minorEastAsia"/>
          <w:color w:val="auto"/>
        </w:rPr>
      </w:pPr>
    </w:p>
    <w:p w14:paraId="12DA6624">
      <w:pPr>
        <w:pStyle w:val="21"/>
        <w:rPr>
          <w:rFonts w:hint="eastAsia" w:asciiTheme="minorEastAsia" w:hAnsiTheme="minorEastAsia" w:eastAsiaTheme="minorEastAsia" w:cstheme="minorEastAsia"/>
          <w:color w:val="auto"/>
        </w:rPr>
      </w:pPr>
    </w:p>
    <w:p w14:paraId="531ACC7F">
      <w:pPr>
        <w:pStyle w:val="21"/>
        <w:rPr>
          <w:rFonts w:hint="eastAsia" w:asciiTheme="minorEastAsia" w:hAnsiTheme="minorEastAsia" w:eastAsiaTheme="minorEastAsia" w:cstheme="minorEastAsia"/>
          <w:color w:val="auto"/>
        </w:rPr>
      </w:pPr>
    </w:p>
    <w:p w14:paraId="3375C632">
      <w:pPr>
        <w:pStyle w:val="21"/>
        <w:rPr>
          <w:rFonts w:hint="eastAsia" w:asciiTheme="minorEastAsia" w:hAnsiTheme="minorEastAsia" w:eastAsiaTheme="minorEastAsia" w:cstheme="minorEastAsia"/>
          <w:color w:val="auto"/>
        </w:rPr>
      </w:pPr>
    </w:p>
    <w:p w14:paraId="2A3929A5">
      <w:pPr>
        <w:pStyle w:val="21"/>
        <w:rPr>
          <w:rFonts w:hint="eastAsia" w:asciiTheme="minorEastAsia" w:hAnsiTheme="minorEastAsia" w:eastAsiaTheme="minorEastAsia" w:cstheme="minorEastAsia"/>
          <w:color w:val="auto"/>
        </w:rPr>
      </w:pPr>
    </w:p>
    <w:p w14:paraId="4E8D7C5C">
      <w:pPr>
        <w:pStyle w:val="21"/>
        <w:rPr>
          <w:rFonts w:hint="eastAsia" w:asciiTheme="minorEastAsia" w:hAnsiTheme="minorEastAsia" w:eastAsiaTheme="minorEastAsia" w:cstheme="minorEastAsia"/>
          <w:color w:val="auto"/>
        </w:rPr>
      </w:pPr>
    </w:p>
    <w:p w14:paraId="7FBB596B">
      <w:pPr>
        <w:pStyle w:val="21"/>
        <w:rPr>
          <w:rFonts w:hint="eastAsia" w:asciiTheme="minorEastAsia" w:hAnsiTheme="minorEastAsia" w:eastAsiaTheme="minorEastAsia" w:cstheme="minorEastAsia"/>
          <w:color w:val="auto"/>
        </w:rPr>
      </w:pPr>
    </w:p>
    <w:p w14:paraId="47C74B1D">
      <w:pPr>
        <w:pStyle w:val="21"/>
        <w:rPr>
          <w:rFonts w:hint="eastAsia" w:asciiTheme="minorEastAsia" w:hAnsiTheme="minorEastAsia" w:eastAsiaTheme="minorEastAsia" w:cstheme="minorEastAsia"/>
          <w:color w:val="auto"/>
        </w:rPr>
      </w:pPr>
    </w:p>
    <w:p w14:paraId="258065D7">
      <w:pPr>
        <w:pStyle w:val="21"/>
        <w:rPr>
          <w:rFonts w:hint="eastAsia" w:asciiTheme="minorEastAsia" w:hAnsiTheme="minorEastAsia" w:eastAsiaTheme="minorEastAsia" w:cstheme="minorEastAsia"/>
          <w:color w:val="auto"/>
        </w:rPr>
      </w:pPr>
    </w:p>
    <w:p w14:paraId="0EF45137">
      <w:pPr>
        <w:pStyle w:val="21"/>
        <w:rPr>
          <w:rFonts w:hint="eastAsia" w:asciiTheme="minorEastAsia" w:hAnsiTheme="minorEastAsia" w:eastAsiaTheme="minorEastAsia" w:cstheme="minorEastAsia"/>
          <w:color w:val="auto"/>
        </w:rPr>
      </w:pPr>
    </w:p>
    <w:p w14:paraId="7B27E9EA">
      <w:pPr>
        <w:pStyle w:val="21"/>
        <w:rPr>
          <w:rFonts w:hint="eastAsia" w:asciiTheme="minorEastAsia" w:hAnsiTheme="minorEastAsia" w:eastAsiaTheme="minorEastAsia" w:cstheme="minorEastAsia"/>
          <w:color w:val="auto"/>
        </w:rPr>
      </w:pPr>
    </w:p>
    <w:p w14:paraId="4105C220">
      <w:pPr>
        <w:pStyle w:val="21"/>
        <w:rPr>
          <w:rFonts w:hint="eastAsia" w:asciiTheme="minorEastAsia" w:hAnsiTheme="minorEastAsia" w:eastAsiaTheme="minorEastAsia" w:cstheme="minorEastAsia"/>
          <w:color w:val="auto"/>
        </w:rPr>
      </w:pPr>
    </w:p>
    <w:p w14:paraId="39ED9060">
      <w:pPr>
        <w:pStyle w:val="21"/>
        <w:rPr>
          <w:rFonts w:hint="eastAsia" w:asciiTheme="minorEastAsia" w:hAnsiTheme="minorEastAsia" w:eastAsiaTheme="minorEastAsia" w:cstheme="minorEastAsia"/>
          <w:color w:val="auto"/>
        </w:rPr>
      </w:pPr>
    </w:p>
    <w:p w14:paraId="4133C23D">
      <w:pPr>
        <w:pStyle w:val="21"/>
        <w:rPr>
          <w:rFonts w:hint="eastAsia" w:asciiTheme="minorEastAsia" w:hAnsiTheme="minorEastAsia" w:eastAsiaTheme="minorEastAsia" w:cstheme="minorEastAsia"/>
          <w:color w:val="auto"/>
        </w:rPr>
      </w:pPr>
    </w:p>
    <w:p w14:paraId="42A8603E">
      <w:pPr>
        <w:pStyle w:val="21"/>
        <w:rPr>
          <w:rFonts w:hint="eastAsia" w:asciiTheme="minorEastAsia" w:hAnsiTheme="minorEastAsia" w:eastAsiaTheme="minorEastAsia" w:cstheme="minorEastAsia"/>
          <w:color w:val="auto"/>
        </w:rPr>
      </w:pPr>
    </w:p>
    <w:p w14:paraId="05E1444F">
      <w:pPr>
        <w:pStyle w:val="21"/>
        <w:rPr>
          <w:rFonts w:hint="eastAsia" w:asciiTheme="minorEastAsia" w:hAnsiTheme="minorEastAsia" w:eastAsiaTheme="minorEastAsia" w:cstheme="minorEastAsia"/>
          <w:color w:val="auto"/>
        </w:rPr>
      </w:pPr>
    </w:p>
    <w:p w14:paraId="635325DA">
      <w:pPr>
        <w:pStyle w:val="21"/>
        <w:rPr>
          <w:rFonts w:hint="eastAsia" w:asciiTheme="minorEastAsia" w:hAnsiTheme="minorEastAsia" w:eastAsiaTheme="minorEastAsia" w:cstheme="minorEastAsia"/>
          <w:color w:val="auto"/>
        </w:rPr>
      </w:pPr>
    </w:p>
    <w:p w14:paraId="1C445EA0">
      <w:pPr>
        <w:pStyle w:val="21"/>
        <w:rPr>
          <w:rFonts w:hint="eastAsia" w:asciiTheme="minorEastAsia" w:hAnsiTheme="minorEastAsia" w:eastAsiaTheme="minorEastAsia" w:cstheme="minorEastAsia"/>
          <w:color w:val="auto"/>
        </w:rPr>
      </w:pPr>
    </w:p>
    <w:p w14:paraId="1424790F">
      <w:pPr>
        <w:pStyle w:val="21"/>
        <w:rPr>
          <w:rFonts w:hint="eastAsia" w:asciiTheme="minorEastAsia" w:hAnsiTheme="minorEastAsia" w:eastAsiaTheme="minorEastAsia" w:cstheme="minorEastAsia"/>
          <w:color w:val="auto"/>
        </w:rPr>
      </w:pPr>
    </w:p>
    <w:p w14:paraId="5969180B">
      <w:pPr>
        <w:pStyle w:val="21"/>
        <w:rPr>
          <w:rFonts w:hint="eastAsia" w:asciiTheme="minorEastAsia" w:hAnsiTheme="minorEastAsia" w:eastAsiaTheme="minorEastAsia" w:cstheme="minorEastAsia"/>
          <w:color w:val="auto"/>
        </w:rPr>
      </w:pPr>
    </w:p>
    <w:p w14:paraId="5EA9EEE7">
      <w:pPr>
        <w:pStyle w:val="21"/>
        <w:rPr>
          <w:rFonts w:hint="eastAsia" w:asciiTheme="minorEastAsia" w:hAnsiTheme="minorEastAsia" w:eastAsiaTheme="minorEastAsia" w:cstheme="minorEastAsia"/>
          <w:color w:val="auto"/>
        </w:rPr>
      </w:pPr>
    </w:p>
    <w:p w14:paraId="2E8BC0CD">
      <w:pPr>
        <w:pStyle w:val="21"/>
        <w:rPr>
          <w:rFonts w:hint="eastAsia" w:asciiTheme="minorEastAsia" w:hAnsiTheme="minorEastAsia" w:eastAsiaTheme="minorEastAsia" w:cstheme="minorEastAsia"/>
          <w:color w:val="auto"/>
        </w:rPr>
      </w:pPr>
    </w:p>
    <w:p w14:paraId="65F21CC5">
      <w:pPr>
        <w:pStyle w:val="21"/>
        <w:rPr>
          <w:rFonts w:hint="eastAsia" w:asciiTheme="minorEastAsia" w:hAnsiTheme="minorEastAsia" w:eastAsiaTheme="minorEastAsia" w:cstheme="minorEastAsia"/>
          <w:color w:val="auto"/>
        </w:rPr>
      </w:pPr>
    </w:p>
    <w:p w14:paraId="59585DBE">
      <w:pPr>
        <w:pStyle w:val="21"/>
        <w:rPr>
          <w:rFonts w:hint="eastAsia" w:asciiTheme="minorEastAsia" w:hAnsiTheme="minorEastAsia" w:eastAsiaTheme="minorEastAsia" w:cstheme="minorEastAsia"/>
          <w:color w:val="auto"/>
        </w:rPr>
      </w:pPr>
    </w:p>
    <w:p w14:paraId="57C20C7C">
      <w:pPr>
        <w:pStyle w:val="21"/>
        <w:rPr>
          <w:rFonts w:hint="eastAsia" w:asciiTheme="minorEastAsia" w:hAnsiTheme="minorEastAsia" w:eastAsiaTheme="minorEastAsia" w:cstheme="minorEastAsia"/>
          <w:color w:val="auto"/>
        </w:rPr>
      </w:pPr>
    </w:p>
    <w:p w14:paraId="33CB0F28">
      <w:pPr>
        <w:pStyle w:val="21"/>
        <w:rPr>
          <w:rFonts w:hint="eastAsia" w:asciiTheme="minorEastAsia" w:hAnsiTheme="minorEastAsia" w:eastAsiaTheme="minorEastAsia" w:cstheme="minorEastAsia"/>
          <w:color w:val="auto"/>
        </w:rPr>
      </w:pPr>
    </w:p>
    <w:p w14:paraId="71216C96">
      <w:pPr>
        <w:pStyle w:val="21"/>
        <w:rPr>
          <w:rFonts w:hint="eastAsia" w:asciiTheme="minorEastAsia" w:hAnsiTheme="minorEastAsia" w:eastAsiaTheme="minorEastAsia" w:cstheme="minorEastAsia"/>
          <w:color w:val="auto"/>
        </w:rPr>
      </w:pPr>
    </w:p>
    <w:p w14:paraId="497EF3F7">
      <w:pPr>
        <w:pStyle w:val="21"/>
        <w:rPr>
          <w:rFonts w:hint="eastAsia" w:asciiTheme="minorEastAsia" w:hAnsiTheme="minorEastAsia" w:eastAsiaTheme="minorEastAsia" w:cstheme="minorEastAsia"/>
          <w:color w:val="auto"/>
        </w:rPr>
      </w:pPr>
    </w:p>
    <w:p w14:paraId="02F6AEE8">
      <w:pPr>
        <w:pStyle w:val="21"/>
        <w:rPr>
          <w:rFonts w:hint="eastAsia" w:asciiTheme="minorEastAsia" w:hAnsiTheme="minorEastAsia" w:eastAsiaTheme="minorEastAsia" w:cstheme="minorEastAsia"/>
          <w:color w:val="auto"/>
        </w:rPr>
      </w:pPr>
    </w:p>
    <w:p w14:paraId="382BCEA2">
      <w:pPr>
        <w:pStyle w:val="21"/>
        <w:rPr>
          <w:rFonts w:hint="eastAsia" w:asciiTheme="minorEastAsia" w:hAnsiTheme="minorEastAsia" w:eastAsiaTheme="minorEastAsia" w:cstheme="minorEastAsia"/>
          <w:color w:val="auto"/>
        </w:rPr>
      </w:pPr>
    </w:p>
    <w:p w14:paraId="72CDE130">
      <w:pPr>
        <w:pStyle w:val="21"/>
        <w:rPr>
          <w:rFonts w:hint="eastAsia" w:asciiTheme="minorEastAsia" w:hAnsiTheme="minorEastAsia" w:eastAsiaTheme="minorEastAsia" w:cstheme="minorEastAsia"/>
          <w:color w:val="auto"/>
        </w:rPr>
      </w:pPr>
    </w:p>
    <w:p w14:paraId="01FA085C">
      <w:pPr>
        <w:pStyle w:val="21"/>
        <w:rPr>
          <w:rFonts w:hint="eastAsia" w:asciiTheme="minorEastAsia" w:hAnsiTheme="minorEastAsia" w:eastAsiaTheme="minorEastAsia" w:cstheme="minorEastAsia"/>
          <w:color w:val="auto"/>
        </w:rPr>
      </w:pPr>
    </w:p>
    <w:p w14:paraId="661354CF">
      <w:pPr>
        <w:pStyle w:val="21"/>
        <w:rPr>
          <w:rFonts w:hint="eastAsia" w:asciiTheme="minorEastAsia" w:hAnsiTheme="minorEastAsia" w:eastAsiaTheme="minorEastAsia" w:cstheme="minorEastAsia"/>
          <w:color w:val="auto"/>
        </w:rPr>
      </w:pPr>
    </w:p>
    <w:p w14:paraId="5F18BCAF">
      <w:pPr>
        <w:pStyle w:val="21"/>
        <w:rPr>
          <w:rFonts w:hint="eastAsia" w:asciiTheme="minorEastAsia" w:hAnsiTheme="minorEastAsia" w:eastAsiaTheme="minorEastAsia" w:cstheme="minorEastAsia"/>
          <w:color w:val="auto"/>
        </w:rPr>
      </w:pPr>
    </w:p>
    <w:p w14:paraId="3C369F60">
      <w:pPr>
        <w:pStyle w:val="21"/>
        <w:rPr>
          <w:rFonts w:hint="eastAsia" w:asciiTheme="minorEastAsia" w:hAnsiTheme="minorEastAsia" w:eastAsiaTheme="minorEastAsia" w:cstheme="minorEastAsia"/>
          <w:color w:val="auto"/>
        </w:rPr>
      </w:pPr>
    </w:p>
    <w:p w14:paraId="304110FD">
      <w:pPr>
        <w:pStyle w:val="21"/>
        <w:rPr>
          <w:rFonts w:hint="eastAsia" w:asciiTheme="minorEastAsia" w:hAnsiTheme="minorEastAsia" w:eastAsiaTheme="minorEastAsia" w:cstheme="minorEastAsia"/>
          <w:color w:val="auto"/>
        </w:rPr>
      </w:pPr>
    </w:p>
    <w:p w14:paraId="10C90BCF">
      <w:pPr>
        <w:pStyle w:val="21"/>
        <w:rPr>
          <w:rFonts w:hint="eastAsia" w:asciiTheme="minorEastAsia" w:hAnsiTheme="minorEastAsia" w:eastAsiaTheme="minorEastAsia" w:cstheme="minorEastAsia"/>
          <w:color w:val="auto"/>
        </w:rPr>
      </w:pPr>
    </w:p>
    <w:p w14:paraId="28AB292A">
      <w:pPr>
        <w:pStyle w:val="21"/>
        <w:rPr>
          <w:rFonts w:hint="eastAsia" w:asciiTheme="minorEastAsia" w:hAnsiTheme="minorEastAsia" w:eastAsiaTheme="minorEastAsia" w:cstheme="minorEastAsia"/>
          <w:color w:val="auto"/>
        </w:rPr>
      </w:pPr>
    </w:p>
    <w:p w14:paraId="661EFF8C">
      <w:pPr>
        <w:pStyle w:val="21"/>
        <w:rPr>
          <w:rFonts w:hint="eastAsia" w:asciiTheme="minorEastAsia" w:hAnsiTheme="minorEastAsia" w:eastAsiaTheme="minorEastAsia" w:cstheme="minorEastAsia"/>
          <w:color w:val="auto"/>
        </w:rPr>
      </w:pPr>
    </w:p>
    <w:p w14:paraId="5BF4AAC6">
      <w:pPr>
        <w:pStyle w:val="21"/>
        <w:rPr>
          <w:rFonts w:hint="eastAsia" w:asciiTheme="minorEastAsia" w:hAnsiTheme="minorEastAsia" w:eastAsiaTheme="minorEastAsia" w:cstheme="minorEastAsia"/>
          <w:color w:val="auto"/>
        </w:rPr>
      </w:pPr>
    </w:p>
    <w:p w14:paraId="51FB89F7">
      <w:pPr>
        <w:pStyle w:val="26"/>
        <w:ind w:firstLine="960"/>
        <w:jc w:val="center"/>
        <w:outlineLvl w:val="3"/>
        <w:rPr>
          <w:color w:val="auto"/>
          <w:sz w:val="24"/>
          <w:szCs w:val="24"/>
        </w:rPr>
      </w:pPr>
      <w:r>
        <w:rPr>
          <w:b/>
          <w:color w:val="auto"/>
          <w:sz w:val="24"/>
          <w:szCs w:val="24"/>
        </w:rPr>
        <w:t>二-2 证明材料</w:t>
      </w:r>
    </w:p>
    <w:p w14:paraId="1CE2756C">
      <w:pPr>
        <w:pStyle w:val="26"/>
        <w:ind w:firstLine="480"/>
        <w:jc w:val="left"/>
        <w:rPr>
          <w:color w:val="auto"/>
          <w:sz w:val="24"/>
          <w:szCs w:val="24"/>
        </w:rPr>
      </w:pPr>
      <w:r>
        <w:rPr>
          <w:color w:val="auto"/>
          <w:sz w:val="24"/>
          <w:szCs w:val="24"/>
        </w:rPr>
        <w:t>注：根据招标文件第四章第一资格审查的1.3的“④其他资格证明文件”要求，允许供应商采用资格承诺制的，可提供符合要求的二-2-1资格承诺函，视为满足招标文件的资格要求，投标人根据投标文件格式二-2-1、二-2-2提供其中一种证明材料，若重复提供导致的不利后果，由投标人自行负责。</w:t>
      </w:r>
    </w:p>
    <w:p w14:paraId="06FB2108">
      <w:pPr>
        <w:pStyle w:val="26"/>
        <w:ind w:firstLine="960"/>
        <w:jc w:val="center"/>
        <w:outlineLvl w:val="3"/>
        <w:rPr>
          <w:color w:val="auto"/>
          <w:sz w:val="24"/>
          <w:szCs w:val="24"/>
        </w:rPr>
      </w:pPr>
      <w:r>
        <w:rPr>
          <w:b/>
          <w:color w:val="auto"/>
          <w:sz w:val="24"/>
          <w:szCs w:val="24"/>
        </w:rPr>
        <w:t>二-2-1 福建省政府采购供应商资格承诺函</w:t>
      </w:r>
    </w:p>
    <w:p w14:paraId="0F94F4A7">
      <w:pPr>
        <w:pStyle w:val="26"/>
        <w:ind w:firstLine="480"/>
        <w:jc w:val="left"/>
        <w:rPr>
          <w:color w:val="auto"/>
          <w:sz w:val="24"/>
          <w:szCs w:val="24"/>
        </w:rPr>
      </w:pPr>
      <w:r>
        <w:rPr>
          <w:color w:val="auto"/>
          <w:sz w:val="24"/>
          <w:szCs w:val="24"/>
        </w:rPr>
        <w:t>致：</w:t>
      </w:r>
      <w:r>
        <w:rPr>
          <w:color w:val="auto"/>
          <w:sz w:val="24"/>
          <w:szCs w:val="24"/>
          <w:u w:val="single"/>
        </w:rPr>
        <w:t>（采购人或采购代理机构）</w:t>
      </w:r>
    </w:p>
    <w:p w14:paraId="25A9F0EE">
      <w:pPr>
        <w:pStyle w:val="26"/>
        <w:ind w:firstLine="960"/>
        <w:jc w:val="left"/>
        <w:rPr>
          <w:color w:val="auto"/>
          <w:sz w:val="24"/>
          <w:szCs w:val="24"/>
        </w:rPr>
      </w:pPr>
      <w:r>
        <w:rPr>
          <w:color w:val="auto"/>
          <w:sz w:val="24"/>
          <w:szCs w:val="24"/>
        </w:rPr>
        <w:t>单位名称(自然人姓名):</w:t>
      </w:r>
    </w:p>
    <w:p w14:paraId="65052249">
      <w:pPr>
        <w:pStyle w:val="26"/>
        <w:ind w:firstLine="960"/>
        <w:jc w:val="left"/>
        <w:rPr>
          <w:color w:val="auto"/>
          <w:sz w:val="24"/>
          <w:szCs w:val="24"/>
        </w:rPr>
      </w:pPr>
      <w:r>
        <w:rPr>
          <w:color w:val="auto"/>
          <w:sz w:val="24"/>
          <w:szCs w:val="24"/>
        </w:rPr>
        <w:t>统一社会信用代码(自然人身份证号码):</w:t>
      </w:r>
    </w:p>
    <w:p w14:paraId="480CDE6C">
      <w:pPr>
        <w:pStyle w:val="26"/>
        <w:ind w:firstLine="960"/>
        <w:jc w:val="left"/>
        <w:rPr>
          <w:color w:val="auto"/>
          <w:sz w:val="24"/>
          <w:szCs w:val="24"/>
        </w:rPr>
      </w:pPr>
      <w:r>
        <w:rPr>
          <w:color w:val="auto"/>
          <w:sz w:val="24"/>
          <w:szCs w:val="24"/>
        </w:rPr>
        <w:t>法定代表人(负责人):</w:t>
      </w:r>
    </w:p>
    <w:p w14:paraId="248A245D">
      <w:pPr>
        <w:pStyle w:val="26"/>
        <w:ind w:firstLine="960"/>
        <w:jc w:val="left"/>
        <w:rPr>
          <w:color w:val="auto"/>
          <w:sz w:val="24"/>
          <w:szCs w:val="24"/>
        </w:rPr>
      </w:pPr>
      <w:r>
        <w:rPr>
          <w:color w:val="auto"/>
          <w:sz w:val="24"/>
          <w:szCs w:val="24"/>
        </w:rPr>
        <w:t>联系地址和电话:</w:t>
      </w:r>
    </w:p>
    <w:p w14:paraId="61173DD0">
      <w:pPr>
        <w:pStyle w:val="26"/>
        <w:ind w:firstLine="480"/>
        <w:jc w:val="left"/>
        <w:rPr>
          <w:color w:val="auto"/>
          <w:sz w:val="24"/>
          <w:szCs w:val="24"/>
        </w:rPr>
      </w:pPr>
      <w:r>
        <w:rPr>
          <w:color w:val="auto"/>
          <w:sz w:val="24"/>
          <w:szCs w:val="24"/>
        </w:rPr>
        <w:t>我单位(本人)自愿参加本次政府采购活动，严格遵守《中华人民共和国政府采购法》及相关法律法规，坚守公开、公平公正和诚实信用等原则，依法诚信经营，并郑重承诺:</w:t>
      </w:r>
    </w:p>
    <w:p w14:paraId="3C6E2ADB">
      <w:pPr>
        <w:pStyle w:val="26"/>
        <w:ind w:firstLine="480"/>
        <w:jc w:val="left"/>
        <w:rPr>
          <w:color w:val="auto"/>
          <w:sz w:val="24"/>
          <w:szCs w:val="24"/>
        </w:rPr>
      </w:pPr>
      <w:r>
        <w:rPr>
          <w:color w:val="auto"/>
          <w:sz w:val="24"/>
          <w:szCs w:val="24"/>
        </w:rPr>
        <w:t>一、我单位(本人)具备采购文件要求以及《中华人民共和国政府采购法》第二十二条规定的条件:</w:t>
      </w:r>
    </w:p>
    <w:p w14:paraId="104B706C">
      <w:pPr>
        <w:pStyle w:val="26"/>
        <w:ind w:firstLine="960"/>
        <w:jc w:val="left"/>
        <w:rPr>
          <w:color w:val="auto"/>
          <w:sz w:val="24"/>
          <w:szCs w:val="24"/>
        </w:rPr>
      </w:pPr>
      <w:r>
        <w:rPr>
          <w:color w:val="auto"/>
          <w:sz w:val="24"/>
          <w:szCs w:val="24"/>
        </w:rPr>
        <w:t>1.具有独立承担民事责任的能力;</w:t>
      </w:r>
    </w:p>
    <w:p w14:paraId="64D5A9BF">
      <w:pPr>
        <w:pStyle w:val="26"/>
        <w:ind w:firstLine="960"/>
        <w:jc w:val="left"/>
        <w:rPr>
          <w:color w:val="auto"/>
          <w:sz w:val="24"/>
          <w:szCs w:val="24"/>
        </w:rPr>
      </w:pPr>
      <w:r>
        <w:rPr>
          <w:color w:val="auto"/>
          <w:sz w:val="24"/>
          <w:szCs w:val="24"/>
        </w:rPr>
        <w:t>2.具有良好的商业信誉和健全的财务会计制度;</w:t>
      </w:r>
    </w:p>
    <w:p w14:paraId="23454899">
      <w:pPr>
        <w:pStyle w:val="26"/>
        <w:ind w:firstLine="960"/>
        <w:jc w:val="left"/>
        <w:rPr>
          <w:color w:val="auto"/>
          <w:sz w:val="24"/>
          <w:szCs w:val="24"/>
        </w:rPr>
      </w:pPr>
      <w:r>
        <w:rPr>
          <w:color w:val="auto"/>
          <w:sz w:val="24"/>
          <w:szCs w:val="24"/>
        </w:rPr>
        <w:t>3.具有履行合同所必需的设备和专业技术能力;</w:t>
      </w:r>
    </w:p>
    <w:p w14:paraId="75FD7F48">
      <w:pPr>
        <w:pStyle w:val="26"/>
        <w:ind w:firstLine="960"/>
        <w:jc w:val="left"/>
        <w:rPr>
          <w:color w:val="auto"/>
          <w:sz w:val="24"/>
          <w:szCs w:val="24"/>
        </w:rPr>
      </w:pPr>
      <w:r>
        <w:rPr>
          <w:color w:val="auto"/>
          <w:sz w:val="24"/>
          <w:szCs w:val="24"/>
        </w:rPr>
        <w:t>4.有依法缴纳税收和社会保障资金的良好记录;</w:t>
      </w:r>
    </w:p>
    <w:p w14:paraId="55D37AC9">
      <w:pPr>
        <w:pStyle w:val="26"/>
        <w:ind w:firstLine="960"/>
        <w:jc w:val="left"/>
        <w:rPr>
          <w:color w:val="auto"/>
          <w:sz w:val="24"/>
          <w:szCs w:val="24"/>
        </w:rPr>
      </w:pPr>
      <w:r>
        <w:rPr>
          <w:color w:val="auto"/>
          <w:sz w:val="24"/>
          <w:szCs w:val="24"/>
        </w:rPr>
        <w:t>5.参加政府采购活动前三年内，在经营活动中没有重大违法记录；</w:t>
      </w:r>
    </w:p>
    <w:p w14:paraId="6BBE800D">
      <w:pPr>
        <w:pStyle w:val="26"/>
        <w:ind w:firstLine="960"/>
        <w:jc w:val="left"/>
        <w:rPr>
          <w:color w:val="auto"/>
          <w:sz w:val="24"/>
          <w:szCs w:val="24"/>
        </w:rPr>
      </w:pPr>
      <w:r>
        <w:rPr>
          <w:color w:val="auto"/>
          <w:sz w:val="24"/>
          <w:szCs w:val="24"/>
        </w:rPr>
        <w:t>6.法律、行政法规规定的其他条件。</w:t>
      </w:r>
    </w:p>
    <w:p w14:paraId="556E90C2">
      <w:pPr>
        <w:pStyle w:val="26"/>
        <w:ind w:firstLine="480"/>
        <w:jc w:val="left"/>
        <w:rPr>
          <w:color w:val="auto"/>
          <w:sz w:val="24"/>
          <w:szCs w:val="24"/>
        </w:rPr>
      </w:pPr>
      <w:r>
        <w:rPr>
          <w:color w:val="auto"/>
          <w:sz w:val="24"/>
          <w:szCs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4AD70A33">
      <w:pPr>
        <w:pStyle w:val="26"/>
        <w:ind w:firstLine="480"/>
        <w:jc w:val="left"/>
        <w:rPr>
          <w:color w:val="auto"/>
          <w:sz w:val="24"/>
          <w:szCs w:val="24"/>
        </w:rPr>
      </w:pPr>
      <w:r>
        <w:rPr>
          <w:color w:val="auto"/>
          <w:sz w:val="24"/>
          <w:szCs w:val="24"/>
        </w:rPr>
        <w:t>我单位(本人)对本承诺函及所承诺事项的真实性、合法性及有效性负责，并已知晓如提供资格承诺函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74BBA1E5">
      <w:pPr>
        <w:pStyle w:val="26"/>
        <w:ind w:firstLine="480"/>
        <w:jc w:val="right"/>
        <w:rPr>
          <w:color w:val="auto"/>
          <w:sz w:val="24"/>
          <w:szCs w:val="24"/>
        </w:rPr>
      </w:pPr>
      <w:r>
        <w:rPr>
          <w:color w:val="auto"/>
          <w:sz w:val="24"/>
          <w:szCs w:val="24"/>
        </w:rPr>
        <w:t>供应商：</w:t>
      </w:r>
      <w:r>
        <w:rPr>
          <w:color w:val="auto"/>
          <w:sz w:val="24"/>
          <w:szCs w:val="24"/>
          <w:u w:val="single"/>
        </w:rPr>
        <w:t>名称(单位公章):</w:t>
      </w:r>
    </w:p>
    <w:p w14:paraId="037BEE7C">
      <w:pPr>
        <w:pStyle w:val="26"/>
        <w:ind w:firstLine="480"/>
        <w:jc w:val="right"/>
        <w:rPr>
          <w:color w:val="auto"/>
          <w:sz w:val="24"/>
          <w:szCs w:val="24"/>
        </w:rPr>
      </w:pPr>
      <w:r>
        <w:rPr>
          <w:color w:val="auto"/>
          <w:sz w:val="24"/>
          <w:szCs w:val="24"/>
        </w:rPr>
        <w:t>日期：</w:t>
      </w:r>
      <w:r>
        <w:rPr>
          <w:color w:val="auto"/>
          <w:sz w:val="24"/>
          <w:szCs w:val="24"/>
          <w:u w:val="single"/>
        </w:rPr>
        <w:t>　　年　　月　　日</w:t>
      </w:r>
    </w:p>
    <w:p w14:paraId="209FDFFA">
      <w:pPr>
        <w:pStyle w:val="26"/>
        <w:ind w:firstLine="480"/>
        <w:jc w:val="left"/>
        <w:rPr>
          <w:color w:val="auto"/>
          <w:sz w:val="24"/>
          <w:szCs w:val="24"/>
        </w:rPr>
      </w:pPr>
      <w:r>
        <w:rPr>
          <w:color w:val="auto"/>
          <w:sz w:val="24"/>
          <w:szCs w:val="24"/>
        </w:rPr>
        <w:t>注：</w:t>
      </w:r>
    </w:p>
    <w:p w14:paraId="4224C5CD">
      <w:pPr>
        <w:pStyle w:val="26"/>
        <w:ind w:firstLine="960"/>
        <w:jc w:val="left"/>
        <w:rPr>
          <w:color w:val="auto"/>
          <w:sz w:val="24"/>
          <w:szCs w:val="24"/>
        </w:rPr>
      </w:pPr>
      <w:r>
        <w:rPr>
          <w:color w:val="auto"/>
          <w:sz w:val="24"/>
          <w:szCs w:val="24"/>
        </w:rPr>
        <w:t>1.我单位(本人)专指参加</w:t>
      </w:r>
      <w:r>
        <w:rPr>
          <w:rFonts w:hint="eastAsia"/>
          <w:color w:val="auto"/>
          <w:sz w:val="24"/>
          <w:szCs w:val="24"/>
          <w:lang w:eastAsia="zh-CN"/>
        </w:rPr>
        <w:t>企业采购</w:t>
      </w:r>
      <w:r>
        <w:rPr>
          <w:color w:val="auto"/>
          <w:sz w:val="24"/>
          <w:szCs w:val="24"/>
        </w:rPr>
        <w:t>活动的供应商(含自然人)；</w:t>
      </w:r>
    </w:p>
    <w:p w14:paraId="441BD0FA">
      <w:pPr>
        <w:pStyle w:val="26"/>
        <w:ind w:firstLine="960"/>
        <w:jc w:val="left"/>
        <w:rPr>
          <w:color w:val="auto"/>
        </w:rPr>
      </w:pPr>
      <w:r>
        <w:rPr>
          <w:color w:val="auto"/>
          <w:sz w:val="24"/>
          <w:szCs w:val="24"/>
        </w:rPr>
        <w:t>2.资格承诺的供应商应在投标(响应)文件中按此模板提供承诺函，否则，视为未按照招标文件规定提交投标人的资格及资信文件，按资格审查不通过处理。</w:t>
      </w:r>
    </w:p>
    <w:p w14:paraId="6FC9051A">
      <w:pPr>
        <w:rPr>
          <w:rFonts w:hint="eastAsia"/>
          <w:color w:val="auto"/>
        </w:rPr>
      </w:pPr>
    </w:p>
    <w:p w14:paraId="0955C3C2">
      <w:pPr>
        <w:spacing w:after="0"/>
        <w:rPr>
          <w:rFonts w:hint="eastAsia" w:asciiTheme="minorEastAsia" w:hAnsiTheme="minorEastAsia" w:eastAsiaTheme="minorEastAsia" w:cstheme="minorEastAsia"/>
          <w:color w:val="auto"/>
        </w:rPr>
        <w:sectPr>
          <w:footerReference r:id="rId11" w:type="default"/>
          <w:pgSz w:w="11910" w:h="16840"/>
          <w:pgMar w:top="1460" w:right="860" w:bottom="1160" w:left="1220" w:header="0" w:footer="970" w:gutter="0"/>
          <w:pgNumType w:fmt="decimal"/>
          <w:cols w:space="720" w:num="1"/>
        </w:sectPr>
      </w:pPr>
    </w:p>
    <w:p w14:paraId="074EF2B7">
      <w:pPr>
        <w:spacing w:before="42" w:line="364" w:lineRule="auto"/>
        <w:ind w:right="150" w:rightChars="0"/>
        <w:jc w:val="center"/>
        <w:rPr>
          <w:rFonts w:hint="eastAsia" w:asciiTheme="minorEastAsia" w:hAnsiTheme="minorEastAsia" w:eastAsiaTheme="minorEastAsia" w:cstheme="minorEastAsia"/>
          <w:b/>
          <w:color w:val="auto"/>
          <w:sz w:val="24"/>
        </w:rPr>
      </w:pPr>
      <w:bookmarkStart w:id="57" w:name="二-2营业执照等证明文件"/>
      <w:bookmarkEnd w:id="57"/>
      <w:r>
        <w:rPr>
          <w:rFonts w:hint="eastAsia" w:asciiTheme="minorEastAsia" w:hAnsiTheme="minorEastAsia" w:eastAsiaTheme="minorEastAsia" w:cstheme="minorEastAsia"/>
          <w:b/>
          <w:color w:val="auto"/>
          <w:sz w:val="24"/>
        </w:rPr>
        <w:t>二-2 营业执照等证明文件</w:t>
      </w:r>
    </w:p>
    <w:p w14:paraId="18AE9BA6">
      <w:pPr>
        <w:spacing w:before="42" w:line="364" w:lineRule="auto"/>
        <w:ind w:right="32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致：</w:t>
      </w:r>
      <w:r>
        <w:rPr>
          <w:rFonts w:hint="eastAsia" w:asciiTheme="minorEastAsia" w:hAnsiTheme="minorEastAsia" w:eastAsiaTheme="minorEastAsia" w:cstheme="minorEastAsia"/>
          <w:color w:val="auto"/>
          <w:sz w:val="24"/>
          <w:u w:val="single"/>
        </w:rPr>
        <w:t>（采购人或采购代理机构）</w:t>
      </w:r>
    </w:p>
    <w:p w14:paraId="3BF3B9C7">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）投标人为法人（包括企业、事业单位和社会团体）的</w:t>
      </w:r>
    </w:p>
    <w:p w14:paraId="52A9FA8E">
      <w:pPr>
        <w:pStyle w:val="6"/>
        <w:spacing w:before="16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4"/>
        </w:rPr>
        <w:t>现附上由</w:t>
      </w:r>
      <w:r>
        <w:rPr>
          <w:rFonts w:hint="eastAsia" w:asciiTheme="minorEastAsia" w:hAnsiTheme="minorEastAsia" w:eastAsiaTheme="minorEastAsia" w:cstheme="minorEastAsia"/>
          <w:color w:val="auto"/>
          <w:spacing w:val="-9"/>
          <w:u w:val="single"/>
        </w:rPr>
        <w:t>（（</w:t>
      </w:r>
      <w:r>
        <w:rPr>
          <w:rFonts w:hint="eastAsia" w:asciiTheme="minorEastAsia" w:hAnsiTheme="minorEastAsia" w:eastAsiaTheme="minorEastAsia" w:cstheme="minorEastAsia"/>
          <w:color w:val="auto"/>
          <w:spacing w:val="-6"/>
          <w:u w:val="single"/>
        </w:rPr>
        <w:t>填写“签发机关全称”</w:t>
      </w:r>
      <w:r>
        <w:rPr>
          <w:rFonts w:hint="eastAsia" w:asciiTheme="minorEastAsia" w:hAnsiTheme="minorEastAsia" w:eastAsiaTheme="minorEastAsia" w:cstheme="minorEastAsia"/>
          <w:color w:val="auto"/>
          <w:spacing w:val="-16"/>
          <w:u w:val="single"/>
        </w:rPr>
        <w:t>）</w:t>
      </w:r>
      <w:r>
        <w:rPr>
          <w:rFonts w:hint="eastAsia" w:asciiTheme="minorEastAsia" w:hAnsiTheme="minorEastAsia" w:eastAsiaTheme="minorEastAsia" w:cstheme="minorEastAsia"/>
          <w:color w:val="auto"/>
          <w:spacing w:val="-2"/>
        </w:rPr>
        <w:t>签发的我方统一社会信用代码</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3"/>
        </w:rPr>
        <w:t>请填写法人</w:t>
      </w:r>
      <w:r>
        <w:rPr>
          <w:rFonts w:hint="eastAsia" w:asciiTheme="minorEastAsia" w:hAnsiTheme="minorEastAsia" w:eastAsiaTheme="minorEastAsia" w:cstheme="minorEastAsia"/>
          <w:color w:val="auto"/>
        </w:rPr>
        <w:t>的具体证照名称）复印件，该证明材料真实有效，否则我方负全部责任。</w:t>
      </w:r>
    </w:p>
    <w:p w14:paraId="040EA4D7">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）投标人为非法人（包括其他组织、自然人）的</w:t>
      </w:r>
    </w:p>
    <w:p w14:paraId="0FA60B4C">
      <w:pPr>
        <w:pStyle w:val="6"/>
        <w:spacing w:before="160"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3"/>
        </w:rPr>
        <w:t>□现附上由</w:t>
      </w:r>
      <w:r>
        <w:rPr>
          <w:rFonts w:hint="eastAsia" w:asciiTheme="minorEastAsia" w:hAnsiTheme="minorEastAsia" w:eastAsiaTheme="minorEastAsia" w:cstheme="minorEastAsia"/>
          <w:color w:val="auto"/>
          <w:spacing w:val="-9"/>
          <w:u w:val="single"/>
        </w:rPr>
        <w:t>（（</w:t>
      </w:r>
      <w:r>
        <w:rPr>
          <w:rFonts w:hint="eastAsia" w:asciiTheme="minorEastAsia" w:hAnsiTheme="minorEastAsia" w:eastAsiaTheme="minorEastAsia" w:cstheme="minorEastAsia"/>
          <w:color w:val="auto"/>
          <w:spacing w:val="-6"/>
          <w:u w:val="single"/>
        </w:rPr>
        <w:t>填写“签发机关全称”</w:t>
      </w:r>
      <w:r>
        <w:rPr>
          <w:rFonts w:hint="eastAsia" w:asciiTheme="minorEastAsia" w:hAnsiTheme="minorEastAsia" w:eastAsiaTheme="minorEastAsia" w:cstheme="minorEastAsia"/>
          <w:color w:val="auto"/>
          <w:spacing w:val="-16"/>
          <w:u w:val="single"/>
        </w:rPr>
        <w:t>）</w:t>
      </w:r>
      <w:r>
        <w:rPr>
          <w:rFonts w:hint="eastAsia" w:asciiTheme="minorEastAsia" w:hAnsiTheme="minorEastAsia" w:eastAsiaTheme="minorEastAsia" w:cstheme="minorEastAsia"/>
          <w:color w:val="auto"/>
          <w:spacing w:val="-3"/>
        </w:rPr>
        <w:t>签发的我方</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2"/>
        </w:rPr>
        <w:t>请填写非自然人的非法人的</w:t>
      </w:r>
      <w:r>
        <w:rPr>
          <w:rFonts w:hint="eastAsia" w:asciiTheme="minorEastAsia" w:hAnsiTheme="minorEastAsia" w:eastAsiaTheme="minorEastAsia" w:cstheme="minorEastAsia"/>
          <w:color w:val="auto"/>
        </w:rPr>
        <w:t>具体证照名称）复印件，该证明材料真实有效，否则我方负全部责任。</w:t>
      </w:r>
    </w:p>
    <w:p w14:paraId="3F45CF1C">
      <w:pPr>
        <w:pStyle w:val="6"/>
        <w:spacing w:before="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3"/>
        </w:rPr>
        <w:t>□现附上由</w:t>
      </w:r>
      <w:r>
        <w:rPr>
          <w:rFonts w:hint="eastAsia" w:asciiTheme="minorEastAsia" w:hAnsiTheme="minorEastAsia" w:eastAsiaTheme="minorEastAsia" w:cstheme="minorEastAsia"/>
          <w:color w:val="auto"/>
          <w:spacing w:val="-9"/>
          <w:u w:val="single"/>
        </w:rPr>
        <w:t>（（</w:t>
      </w:r>
      <w:r>
        <w:rPr>
          <w:rFonts w:hint="eastAsia" w:asciiTheme="minorEastAsia" w:hAnsiTheme="minorEastAsia" w:eastAsiaTheme="minorEastAsia" w:cstheme="minorEastAsia"/>
          <w:color w:val="auto"/>
          <w:spacing w:val="-6"/>
          <w:u w:val="single"/>
        </w:rPr>
        <w:t>填写“签发机关全称”</w:t>
      </w:r>
      <w:r>
        <w:rPr>
          <w:rFonts w:hint="eastAsia" w:asciiTheme="minorEastAsia" w:hAnsiTheme="minorEastAsia" w:eastAsiaTheme="minorEastAsia" w:cstheme="minorEastAsia"/>
          <w:color w:val="auto"/>
          <w:spacing w:val="-16"/>
          <w:u w:val="single"/>
        </w:rPr>
        <w:t>）</w:t>
      </w:r>
      <w:r>
        <w:rPr>
          <w:rFonts w:hint="eastAsia" w:asciiTheme="minorEastAsia" w:hAnsiTheme="minorEastAsia" w:eastAsiaTheme="minorEastAsia" w:cstheme="minorEastAsia"/>
          <w:color w:val="auto"/>
          <w:spacing w:val="-3"/>
        </w:rPr>
        <w:t>签发的我方</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2"/>
        </w:rPr>
        <w:t>请填写自然人的身份证件名</w:t>
      </w:r>
      <w:r>
        <w:rPr>
          <w:rFonts w:hint="eastAsia" w:asciiTheme="minorEastAsia" w:hAnsiTheme="minorEastAsia" w:eastAsiaTheme="minorEastAsia" w:cstheme="minorEastAsia"/>
          <w:color w:val="auto"/>
        </w:rPr>
        <w:t>称）复印件，该证明材料真实有效，否则我方负全部责任。</w:t>
      </w:r>
    </w:p>
    <w:p w14:paraId="0F8822DE">
      <w:pPr>
        <w:pStyle w:val="6"/>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245B4B13">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1、请投标人按照实际情况编制填写，在相应的（）中打“√”并选择相应的“□”</w:t>
      </w:r>
    </w:p>
    <w:p w14:paraId="189ADCA3">
      <w:pPr>
        <w:pStyle w:val="6"/>
        <w:spacing w:before="161"/>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（若有）后，再按照本格式的要求提供相应证明材料的复印件。</w:t>
      </w:r>
    </w:p>
    <w:p w14:paraId="5EFB9449">
      <w:pPr>
        <w:pStyle w:val="6"/>
        <w:spacing w:before="160"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2、投标人为企业的，提供有效的营业执照复印件；投标人为事业单位的，提供有</w:t>
      </w:r>
      <w:r>
        <w:rPr>
          <w:rFonts w:hint="eastAsia" w:asciiTheme="minorEastAsia" w:hAnsiTheme="minorEastAsia" w:eastAsiaTheme="minorEastAsia" w:cstheme="minorEastAsia"/>
          <w:color w:val="auto"/>
          <w:spacing w:val="-6"/>
        </w:rPr>
        <w:t>效的事业单位法人证书复印件；投标人为社会团体的，提供有效的社会团体法人登记证</w:t>
      </w:r>
      <w:r>
        <w:rPr>
          <w:rFonts w:hint="eastAsia" w:asciiTheme="minorEastAsia" w:hAnsiTheme="minorEastAsia" w:eastAsiaTheme="minorEastAsia" w:cstheme="minorEastAsia"/>
          <w:color w:val="auto"/>
          <w:spacing w:val="-11"/>
        </w:rPr>
        <w:t>书复印件；投标人为合伙企业、个体工商户的，提供有效的营业执照复印件；投标人为</w:t>
      </w:r>
      <w:r>
        <w:rPr>
          <w:rFonts w:hint="eastAsia" w:asciiTheme="minorEastAsia" w:hAnsiTheme="minorEastAsia" w:eastAsiaTheme="minorEastAsia" w:cstheme="minorEastAsia"/>
          <w:color w:val="auto"/>
          <w:spacing w:val="-19"/>
        </w:rPr>
        <w:t xml:space="preserve">非企业专业服务机构的，提供有效的执业许可证等证明材料复印件；投标人为自然人的， </w:t>
      </w:r>
      <w:r>
        <w:rPr>
          <w:rFonts w:hint="eastAsia" w:asciiTheme="minorEastAsia" w:hAnsiTheme="minorEastAsia" w:eastAsiaTheme="minorEastAsia" w:cstheme="minorEastAsia"/>
          <w:color w:val="auto"/>
          <w:spacing w:val="-5"/>
        </w:rPr>
        <w:t>提供有效的自然人身份证件复印件；其他投标人应按照有关法律、法规和规章规定，提供有效的相应具体证照复印件。</w:t>
      </w:r>
    </w:p>
    <w:p w14:paraId="3CE1C29F">
      <w:pPr>
        <w:pStyle w:val="6"/>
        <w:tabs>
          <w:tab w:val="left" w:pos="7566"/>
          <w:tab w:val="left" w:pos="8286"/>
          <w:tab w:val="left" w:pos="9006"/>
        </w:tabs>
        <w:spacing w:before="4" w:line="364" w:lineRule="auto"/>
        <w:ind w:left="6366" w:right="577" w:hanging="720"/>
        <w:rPr>
          <w:rFonts w:hint="eastAsia" w:asciiTheme="minorEastAsia" w:hAnsiTheme="minorEastAsia" w:eastAsiaTheme="minorEastAsia" w:cstheme="minorEastAsia"/>
          <w:color w:val="auto"/>
        </w:rPr>
      </w:pPr>
    </w:p>
    <w:p w14:paraId="7EAECD23">
      <w:pPr>
        <w:pStyle w:val="6"/>
        <w:tabs>
          <w:tab w:val="left" w:pos="7566"/>
          <w:tab w:val="left" w:pos="8286"/>
          <w:tab w:val="left" w:pos="9006"/>
        </w:tabs>
        <w:spacing w:before="4"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0372592B">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2F148763">
      <w:pPr>
        <w:tabs>
          <w:tab w:val="left" w:pos="7700"/>
        </w:tabs>
        <w:spacing w:before="42" w:line="364" w:lineRule="auto"/>
        <w:ind w:right="150" w:rightChars="0"/>
        <w:jc w:val="center"/>
        <w:rPr>
          <w:rFonts w:hint="eastAsia" w:asciiTheme="minorEastAsia" w:hAnsiTheme="minorEastAsia" w:eastAsiaTheme="minorEastAsia" w:cstheme="minorEastAsia"/>
          <w:b/>
          <w:color w:val="auto"/>
          <w:sz w:val="24"/>
        </w:rPr>
      </w:pPr>
      <w:bookmarkStart w:id="58" w:name="二-3财务状况报告（财务报告、或资信证明）"/>
      <w:bookmarkEnd w:id="58"/>
      <w:r>
        <w:rPr>
          <w:rFonts w:hint="eastAsia" w:asciiTheme="minorEastAsia" w:hAnsiTheme="minorEastAsia" w:eastAsiaTheme="minorEastAsia" w:cstheme="minorEastAsia"/>
          <w:b/>
          <w:color w:val="auto"/>
          <w:sz w:val="24"/>
        </w:rPr>
        <w:t>二-3 财务状况报告（财务报告、或资信证明）</w:t>
      </w:r>
    </w:p>
    <w:p w14:paraId="10E7878E">
      <w:pPr>
        <w:spacing w:before="42" w:line="364" w:lineRule="auto"/>
        <w:ind w:right="2195"/>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color w:val="auto"/>
          <w:sz w:val="24"/>
        </w:rPr>
        <w:t xml:space="preserve"> </w:t>
      </w:r>
      <w:r>
        <w:rPr>
          <w:rFonts w:hint="eastAsia" w:asciiTheme="minorEastAsia" w:hAnsiTheme="minorEastAsia" w:eastAsiaTheme="minorEastAsia" w:cstheme="minorEastAsia"/>
          <w:color w:val="auto"/>
          <w:sz w:val="24"/>
        </w:rPr>
        <w:t>致：</w:t>
      </w:r>
      <w:r>
        <w:rPr>
          <w:rFonts w:hint="eastAsia" w:asciiTheme="minorEastAsia" w:hAnsiTheme="minorEastAsia" w:eastAsiaTheme="minorEastAsia" w:cstheme="minorEastAsia"/>
          <w:color w:val="auto"/>
          <w:sz w:val="24"/>
          <w:u w:val="single"/>
        </w:rPr>
        <w:t>（采购人或采购代理机构）</w:t>
      </w:r>
    </w:p>
    <w:p w14:paraId="0D091ED9">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）投标人提供财务报告的</w:t>
      </w:r>
    </w:p>
    <w:p w14:paraId="07410472">
      <w:pPr>
        <w:pStyle w:val="6"/>
        <w:spacing w:before="16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4"/>
        </w:rPr>
        <w:t>□企业适用：现附上我方</w:t>
      </w:r>
      <w:r>
        <w:rPr>
          <w:rFonts w:hint="eastAsia" w:asciiTheme="minorEastAsia" w:hAnsiTheme="minorEastAsia" w:eastAsiaTheme="minorEastAsia" w:cstheme="minorEastAsia"/>
          <w:color w:val="auto"/>
          <w:u w:val="single"/>
        </w:rPr>
        <w:t>（</w:t>
      </w:r>
      <w:r>
        <w:rPr>
          <w:rFonts w:hint="eastAsia" w:asciiTheme="minorEastAsia" w:hAnsiTheme="minorEastAsia" w:eastAsiaTheme="minorEastAsia" w:cstheme="minorEastAsia"/>
          <w:color w:val="auto"/>
          <w:spacing w:val="-7"/>
          <w:u w:val="single"/>
        </w:rPr>
        <w:t>填写“具体的年度、或半年度、季度</w:t>
      </w:r>
      <w:r>
        <w:rPr>
          <w:rFonts w:hint="eastAsia" w:asciiTheme="minorEastAsia" w:hAnsiTheme="minorEastAsia" w:eastAsiaTheme="minorEastAsia" w:cstheme="minorEastAsia"/>
          <w:color w:val="auto"/>
          <w:spacing w:val="-15"/>
          <w:u w:val="single"/>
        </w:rPr>
        <w:t>”）</w:t>
      </w:r>
      <w:r>
        <w:rPr>
          <w:rFonts w:hint="eastAsia" w:asciiTheme="minorEastAsia" w:hAnsiTheme="minorEastAsia" w:eastAsiaTheme="minorEastAsia" w:cstheme="minorEastAsia"/>
          <w:color w:val="auto"/>
          <w:spacing w:val="-2"/>
        </w:rPr>
        <w:t>财务报告复印</w:t>
      </w:r>
      <w:r>
        <w:rPr>
          <w:rFonts w:hint="eastAsia" w:asciiTheme="minorEastAsia" w:hAnsiTheme="minorEastAsia" w:eastAsiaTheme="minorEastAsia" w:cstheme="minorEastAsia"/>
          <w:color w:val="auto"/>
          <w:spacing w:val="-8"/>
        </w:rPr>
        <w:t>件，包括资产负债表、利润表、现金流量表、所有者权益变动表</w:t>
      </w:r>
      <w:r>
        <w:rPr>
          <w:rFonts w:hint="eastAsia" w:asciiTheme="minorEastAsia" w:hAnsiTheme="minorEastAsia" w:eastAsiaTheme="minorEastAsia" w:cstheme="minorEastAsia"/>
          <w:color w:val="auto"/>
        </w:rPr>
        <w:t>（若有</w:t>
      </w:r>
      <w:r>
        <w:rPr>
          <w:rFonts w:hint="eastAsia" w:asciiTheme="minorEastAsia" w:hAnsiTheme="minorEastAsia" w:eastAsiaTheme="minorEastAsia" w:cstheme="minorEastAsia"/>
          <w:color w:val="auto"/>
          <w:spacing w:val="-15"/>
        </w:rPr>
        <w:t>）</w:t>
      </w:r>
      <w:r>
        <w:rPr>
          <w:rFonts w:hint="eastAsia" w:asciiTheme="minorEastAsia" w:hAnsiTheme="minorEastAsia" w:eastAsiaTheme="minorEastAsia" w:cstheme="minorEastAsia"/>
          <w:color w:val="auto"/>
          <w:spacing w:val="-3"/>
        </w:rPr>
        <w:t>及其附注（</w:t>
      </w:r>
      <w:r>
        <w:rPr>
          <w:rFonts w:hint="eastAsia" w:asciiTheme="minorEastAsia" w:hAnsiTheme="minorEastAsia" w:eastAsiaTheme="minorEastAsia" w:cstheme="minorEastAsia"/>
          <w:color w:val="auto"/>
          <w:spacing w:val="-12"/>
        </w:rPr>
        <w:t>若</w:t>
      </w:r>
      <w:r>
        <w:rPr>
          <w:rFonts w:hint="eastAsia" w:asciiTheme="minorEastAsia" w:hAnsiTheme="minorEastAsia" w:eastAsiaTheme="minorEastAsia" w:cstheme="minorEastAsia"/>
          <w:color w:val="auto"/>
        </w:rPr>
        <w:t>有</w:t>
      </w:r>
      <w:r>
        <w:rPr>
          <w:rFonts w:hint="eastAsia" w:asciiTheme="minorEastAsia" w:hAnsiTheme="minorEastAsia" w:eastAsiaTheme="minorEastAsia" w:cstheme="minorEastAsia"/>
          <w:color w:val="auto"/>
          <w:spacing w:val="-24"/>
        </w:rPr>
        <w:t>）</w:t>
      </w:r>
      <w:r>
        <w:rPr>
          <w:rFonts w:hint="eastAsia" w:asciiTheme="minorEastAsia" w:hAnsiTheme="minorEastAsia" w:eastAsiaTheme="minorEastAsia" w:cstheme="minorEastAsia"/>
          <w:color w:val="auto"/>
          <w:spacing w:val="-8"/>
        </w:rPr>
        <w:t>、会计师事务所营业执照和注册会计师资格证书，上述证明材料真实有效，否则我</w:t>
      </w:r>
      <w:r>
        <w:rPr>
          <w:rFonts w:hint="eastAsia" w:asciiTheme="minorEastAsia" w:hAnsiTheme="minorEastAsia" w:eastAsiaTheme="minorEastAsia" w:cstheme="minorEastAsia"/>
          <w:color w:val="auto"/>
        </w:rPr>
        <w:t>方负全部责任。</w:t>
      </w:r>
    </w:p>
    <w:p w14:paraId="0861EB7F">
      <w:pPr>
        <w:pStyle w:val="6"/>
        <w:spacing w:before="2"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3"/>
        </w:rPr>
        <w:t>□事业单位适用：现附上我方</w:t>
      </w:r>
      <w:r>
        <w:rPr>
          <w:rFonts w:hint="eastAsia" w:asciiTheme="minorEastAsia" w:hAnsiTheme="minorEastAsia" w:eastAsiaTheme="minorEastAsia" w:cstheme="minorEastAsia"/>
          <w:color w:val="auto"/>
          <w:u w:val="single"/>
        </w:rPr>
        <w:t>（</w:t>
      </w:r>
      <w:r>
        <w:rPr>
          <w:rFonts w:hint="eastAsia" w:asciiTheme="minorEastAsia" w:hAnsiTheme="minorEastAsia" w:eastAsiaTheme="minorEastAsia" w:cstheme="minorEastAsia"/>
          <w:color w:val="auto"/>
          <w:spacing w:val="-7"/>
          <w:u w:val="single"/>
        </w:rPr>
        <w:t>填写“具体的年度、或半年度、或季度</w:t>
      </w:r>
      <w:r>
        <w:rPr>
          <w:rFonts w:hint="eastAsia" w:asciiTheme="minorEastAsia" w:hAnsiTheme="minorEastAsia" w:eastAsiaTheme="minorEastAsia" w:cstheme="minorEastAsia"/>
          <w:color w:val="auto"/>
          <w:spacing w:val="-15"/>
          <w:u w:val="single"/>
        </w:rPr>
        <w:t>”）</w:t>
      </w:r>
      <w:r>
        <w:rPr>
          <w:rFonts w:hint="eastAsia" w:asciiTheme="minorEastAsia" w:hAnsiTheme="minorEastAsia" w:eastAsiaTheme="minorEastAsia" w:cstheme="minorEastAsia"/>
          <w:color w:val="auto"/>
          <w:spacing w:val="-4"/>
        </w:rPr>
        <w:t>财务报</w:t>
      </w:r>
      <w:r>
        <w:rPr>
          <w:rFonts w:hint="eastAsia" w:asciiTheme="minorEastAsia" w:hAnsiTheme="minorEastAsia" w:eastAsiaTheme="minorEastAsia" w:cstheme="minorEastAsia"/>
          <w:color w:val="auto"/>
          <w:spacing w:val="-6"/>
        </w:rPr>
        <w:t>告复印件，包括资产负债表、收入支出表</w:t>
      </w:r>
      <w:r>
        <w:rPr>
          <w:rFonts w:hint="eastAsia" w:asciiTheme="minorEastAsia" w:hAnsiTheme="minorEastAsia" w:eastAsiaTheme="minorEastAsia" w:cstheme="minorEastAsia"/>
          <w:color w:val="auto"/>
        </w:rPr>
        <w:t>（或收入费用表</w:t>
      </w:r>
      <w:r>
        <w:rPr>
          <w:rFonts w:hint="eastAsia" w:asciiTheme="minorEastAsia" w:hAnsiTheme="minorEastAsia" w:eastAsiaTheme="minorEastAsia" w:cstheme="minorEastAsia"/>
          <w:color w:val="auto"/>
          <w:spacing w:val="-15"/>
        </w:rPr>
        <w:t>）</w:t>
      </w:r>
      <w:r>
        <w:rPr>
          <w:rFonts w:hint="eastAsia" w:asciiTheme="minorEastAsia" w:hAnsiTheme="minorEastAsia" w:eastAsiaTheme="minorEastAsia" w:cstheme="minorEastAsia"/>
          <w:color w:val="auto"/>
          <w:spacing w:val="-6"/>
        </w:rPr>
        <w:t>、财政补助收入支出表</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15"/>
        </w:rPr>
        <w:t>若</w:t>
      </w:r>
      <w:r>
        <w:rPr>
          <w:rFonts w:hint="eastAsia" w:asciiTheme="minorEastAsia" w:hAnsiTheme="minorEastAsia" w:eastAsiaTheme="minorEastAsia" w:cstheme="minorEastAsia"/>
          <w:color w:val="auto"/>
        </w:rPr>
        <w:t>有</w:t>
      </w:r>
      <w:r>
        <w:rPr>
          <w:rFonts w:hint="eastAsia" w:asciiTheme="minorEastAsia" w:hAnsiTheme="minorEastAsia" w:eastAsiaTheme="minorEastAsia" w:cstheme="minorEastAsia"/>
          <w:color w:val="auto"/>
          <w:spacing w:val="-24"/>
        </w:rPr>
        <w:t>）</w:t>
      </w:r>
      <w:r>
        <w:rPr>
          <w:rFonts w:hint="eastAsia" w:asciiTheme="minorEastAsia" w:hAnsiTheme="minorEastAsia" w:eastAsiaTheme="minorEastAsia" w:cstheme="minorEastAsia"/>
          <w:color w:val="auto"/>
          <w:spacing w:val="-8"/>
        </w:rPr>
        <w:t>、会计师事务所营业执照和注册会计师资格证书，上述证明材料真实有效，否则我</w:t>
      </w:r>
      <w:r>
        <w:rPr>
          <w:rFonts w:hint="eastAsia" w:asciiTheme="minorEastAsia" w:hAnsiTheme="minorEastAsia" w:eastAsiaTheme="minorEastAsia" w:cstheme="minorEastAsia"/>
          <w:color w:val="auto"/>
        </w:rPr>
        <w:t>方负全部责任。</w:t>
      </w:r>
    </w:p>
    <w:p w14:paraId="19763F59">
      <w:pPr>
        <w:pStyle w:val="6"/>
        <w:spacing w:before="2"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5"/>
        </w:rPr>
        <w:t>□社会团体、民办非企适用：现附上我方</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21"/>
          <w:u w:val="single"/>
        </w:rPr>
        <w:t>填写“具体的年度、或半年度、或季度”</w:t>
      </w:r>
      <w:r>
        <w:rPr>
          <w:rFonts w:hint="eastAsia" w:asciiTheme="minorEastAsia" w:hAnsiTheme="minorEastAsia" w:eastAsiaTheme="minorEastAsia" w:cstheme="minorEastAsia"/>
          <w:color w:val="auto"/>
          <w:spacing w:val="-13"/>
          <w:u w:val="single"/>
        </w:rPr>
        <w:t>）</w:t>
      </w:r>
      <w:r>
        <w:rPr>
          <w:rFonts w:hint="eastAsia" w:asciiTheme="minorEastAsia" w:hAnsiTheme="minorEastAsia" w:eastAsiaTheme="minorEastAsia" w:cstheme="minorEastAsia"/>
          <w:color w:val="auto"/>
          <w:spacing w:val="-7"/>
        </w:rPr>
        <w:t>财务报告复印件，包括资产负债表、业务活动表、现金流量表、会计师事务所营业执照和注册会计师资格证书，上述证明材料真实有效，否则我方负全部责任。</w:t>
      </w:r>
    </w:p>
    <w:p w14:paraId="4A7B8429">
      <w:pPr>
        <w:pStyle w:val="6"/>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）投标人提供资信证明的</w:t>
      </w:r>
    </w:p>
    <w:p w14:paraId="490FD2D5">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□非自然人适用（包括企业、事业单位、社会团体和其他组织）：现附上我方银行：</w:t>
      </w:r>
    </w:p>
    <w:p w14:paraId="287E3081">
      <w:pPr>
        <w:pStyle w:val="6"/>
        <w:spacing w:before="160" w:line="364" w:lineRule="auto"/>
        <w:ind w:right="577"/>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u w:val="single"/>
        </w:rPr>
        <w:t>（</w:t>
      </w:r>
      <w:r>
        <w:rPr>
          <w:rFonts w:hint="eastAsia" w:asciiTheme="minorEastAsia" w:hAnsiTheme="minorEastAsia" w:eastAsiaTheme="minorEastAsia" w:cstheme="minorEastAsia"/>
          <w:color w:val="auto"/>
          <w:spacing w:val="-5"/>
          <w:u w:val="single"/>
        </w:rPr>
        <w:t>填写“开户银行全称</w:t>
      </w:r>
      <w:r>
        <w:rPr>
          <w:rFonts w:hint="eastAsia" w:asciiTheme="minorEastAsia" w:hAnsiTheme="minorEastAsia" w:eastAsiaTheme="minorEastAsia" w:cstheme="minorEastAsia"/>
          <w:color w:val="auto"/>
          <w:spacing w:val="-20"/>
          <w:u w:val="single"/>
        </w:rPr>
        <w:t>”）</w:t>
      </w:r>
      <w:r>
        <w:rPr>
          <w:rFonts w:hint="eastAsia" w:asciiTheme="minorEastAsia" w:hAnsiTheme="minorEastAsia" w:eastAsiaTheme="minorEastAsia" w:cstheme="minorEastAsia"/>
          <w:color w:val="auto"/>
          <w:spacing w:val="-4"/>
        </w:rPr>
        <w:t>出具的资信证明复印件，上述证明材料真实有效，否则我方</w:t>
      </w:r>
      <w:r>
        <w:rPr>
          <w:rFonts w:hint="eastAsia" w:asciiTheme="minorEastAsia" w:hAnsiTheme="minorEastAsia" w:eastAsiaTheme="minorEastAsia" w:cstheme="minorEastAsia"/>
          <w:color w:val="auto"/>
        </w:rPr>
        <w:t>负全部责任。</w:t>
      </w:r>
    </w:p>
    <w:p w14:paraId="71B8474A">
      <w:pPr>
        <w:pStyle w:val="6"/>
        <w:spacing w:before="1" w:line="364" w:lineRule="auto"/>
        <w:ind w:right="485"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□自然人适用：现附上我方银行</w:t>
      </w:r>
      <w:r>
        <w:rPr>
          <w:rFonts w:hint="eastAsia" w:asciiTheme="minorEastAsia" w:hAnsiTheme="minorEastAsia" w:eastAsiaTheme="minorEastAsia" w:cstheme="minorEastAsia"/>
          <w:color w:val="auto"/>
          <w:u w:val="single"/>
        </w:rPr>
        <w:t xml:space="preserve">：（填写自然人的“个人账户的开户银行全称”） </w:t>
      </w:r>
      <w:r>
        <w:rPr>
          <w:rFonts w:hint="eastAsia" w:asciiTheme="minorEastAsia" w:hAnsiTheme="minorEastAsia" w:eastAsiaTheme="minorEastAsia" w:cstheme="minorEastAsia"/>
          <w:color w:val="auto"/>
        </w:rPr>
        <w:t>出具的资信证明复印件，上述证明材料真实有效，否则我方负全部责任。</w:t>
      </w:r>
    </w:p>
    <w:p w14:paraId="305A1EE6">
      <w:pPr>
        <w:pStyle w:val="6"/>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2B6B668A">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1、请投标人按照实际情况编制填写，在相应的（）中打“√”并选择相应的“□”</w:t>
      </w:r>
    </w:p>
    <w:p w14:paraId="1CEA6F0B">
      <w:pPr>
        <w:pStyle w:val="6"/>
        <w:spacing w:before="161"/>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（若有）后，再按照本格式的要求提供相应证明材料的复印件。</w:t>
      </w:r>
    </w:p>
    <w:p w14:paraId="12E27937">
      <w:pPr>
        <w:pStyle w:val="6"/>
        <w:spacing w:before="160"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2、投标人提供的财务报告复印件（成立年限按照投标截止时间推算）应符合下列规定：</w:t>
      </w:r>
    </w:p>
    <w:p w14:paraId="3DAB3DE3">
      <w:pPr>
        <w:pStyle w:val="24"/>
        <w:numPr>
          <w:ilvl w:val="1"/>
          <w:numId w:val="72"/>
        </w:numPr>
        <w:tabs>
          <w:tab w:val="left" w:pos="1063"/>
        </w:tabs>
        <w:spacing w:before="1"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0"/>
          <w:sz w:val="24"/>
        </w:rPr>
        <w:t xml:space="preserve">成立年限满 </w:t>
      </w:r>
      <w:r>
        <w:rPr>
          <w:rFonts w:hint="eastAsia" w:asciiTheme="minorEastAsia" w:hAnsiTheme="minorEastAsia" w:eastAsiaTheme="minorEastAsia" w:cstheme="minorEastAsia"/>
          <w:color w:val="auto"/>
          <w:sz w:val="24"/>
        </w:rPr>
        <w:t>1</w:t>
      </w:r>
      <w:r>
        <w:rPr>
          <w:rFonts w:hint="eastAsia" w:asciiTheme="minorEastAsia" w:hAnsiTheme="minorEastAsia" w:eastAsiaTheme="minorEastAsia" w:cstheme="minorEastAsia"/>
          <w:color w:val="auto"/>
          <w:spacing w:val="6"/>
          <w:sz w:val="24"/>
        </w:rPr>
        <w:t xml:space="preserve"> </w:t>
      </w:r>
      <w:r>
        <w:rPr>
          <w:rFonts w:hint="eastAsia" w:asciiTheme="minorEastAsia" w:hAnsiTheme="minorEastAsia" w:eastAsiaTheme="minorEastAsia" w:cstheme="minorEastAsia"/>
          <w:color w:val="auto"/>
          <w:spacing w:val="-10"/>
          <w:sz w:val="24"/>
        </w:rPr>
        <w:t>年及以上的投标人，提供经审计的招标文件规定的年度财务报告。</w:t>
      </w:r>
    </w:p>
    <w:p w14:paraId="45B946AE">
      <w:pPr>
        <w:pStyle w:val="24"/>
        <w:numPr>
          <w:ilvl w:val="1"/>
          <w:numId w:val="72"/>
        </w:numPr>
        <w:tabs>
          <w:tab w:val="left" w:pos="1065"/>
        </w:tabs>
        <w:spacing w:before="161" w:after="0" w:line="364"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5"/>
          <w:sz w:val="24"/>
        </w:rPr>
        <w:t xml:space="preserve">成立年限满半年但不足 </w:t>
      </w:r>
      <w:r>
        <w:rPr>
          <w:rFonts w:hint="eastAsia" w:asciiTheme="minorEastAsia" w:hAnsiTheme="minorEastAsia" w:eastAsiaTheme="minorEastAsia" w:cstheme="minorEastAsia"/>
          <w:color w:val="auto"/>
          <w:sz w:val="24"/>
        </w:rPr>
        <w:t>1</w:t>
      </w:r>
      <w:r>
        <w:rPr>
          <w:rFonts w:hint="eastAsia" w:asciiTheme="minorEastAsia" w:hAnsiTheme="minorEastAsia" w:eastAsiaTheme="minorEastAsia" w:cstheme="minorEastAsia"/>
          <w:color w:val="auto"/>
          <w:spacing w:val="12"/>
          <w:sz w:val="24"/>
        </w:rPr>
        <w:t xml:space="preserve"> </w:t>
      </w:r>
      <w:r>
        <w:rPr>
          <w:rFonts w:hint="eastAsia" w:asciiTheme="minorEastAsia" w:hAnsiTheme="minorEastAsia" w:eastAsiaTheme="minorEastAsia" w:cstheme="minorEastAsia"/>
          <w:color w:val="auto"/>
          <w:spacing w:val="-1"/>
          <w:sz w:val="24"/>
        </w:rPr>
        <w:t>年的投标人，提供该半年度中任一季度的季度财务报</w:t>
      </w:r>
      <w:r>
        <w:rPr>
          <w:rFonts w:hint="eastAsia" w:asciiTheme="minorEastAsia" w:hAnsiTheme="minorEastAsia" w:eastAsiaTheme="minorEastAsia" w:cstheme="minorEastAsia"/>
          <w:color w:val="auto"/>
          <w:sz w:val="24"/>
        </w:rPr>
        <w:t>告或该半年度的半年度财务报告。</w:t>
      </w:r>
    </w:p>
    <w:p w14:paraId="79F09EDD">
      <w:pPr>
        <w:spacing w:after="0" w:line="364" w:lineRule="auto"/>
        <w:jc w:val="left"/>
        <w:rPr>
          <w:rFonts w:hint="eastAsia" w:asciiTheme="minorEastAsia" w:hAnsiTheme="minorEastAsia" w:eastAsiaTheme="minorEastAsia" w:cstheme="minorEastAsia"/>
          <w:color w:val="auto"/>
          <w:sz w:val="24"/>
        </w:rPr>
        <w:sectPr>
          <w:pgSz w:w="11910" w:h="16840"/>
          <w:pgMar w:top="1460" w:right="860" w:bottom="1160" w:left="1220" w:header="0" w:footer="970" w:gutter="0"/>
          <w:pgNumType w:fmt="decimal"/>
          <w:cols w:space="720" w:num="1"/>
        </w:sectPr>
      </w:pPr>
    </w:p>
    <w:p w14:paraId="2399A143">
      <w:pPr>
        <w:pStyle w:val="6"/>
        <w:spacing w:before="42"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7"/>
        </w:rPr>
        <w:t xml:space="preserve">※无法按照本格式第 </w:t>
      </w:r>
      <w:r>
        <w:rPr>
          <w:rFonts w:hint="eastAsia" w:asciiTheme="minorEastAsia" w:hAnsiTheme="minorEastAsia" w:eastAsiaTheme="minorEastAsia" w:cstheme="minorEastAsia"/>
          <w:color w:val="auto"/>
        </w:rPr>
        <w:t>2.1</w:t>
      </w:r>
      <w:r>
        <w:rPr>
          <w:rFonts w:hint="eastAsia" w:asciiTheme="minorEastAsia" w:hAnsiTheme="minorEastAsia" w:eastAsiaTheme="minorEastAsia" w:cstheme="minorEastAsia"/>
          <w:color w:val="auto"/>
          <w:spacing w:val="-111"/>
        </w:rPr>
        <w:t>、</w:t>
      </w:r>
      <w:r>
        <w:rPr>
          <w:rFonts w:hint="eastAsia" w:asciiTheme="minorEastAsia" w:hAnsiTheme="minorEastAsia" w:eastAsiaTheme="minorEastAsia" w:cstheme="minorEastAsia"/>
          <w:color w:val="auto"/>
        </w:rPr>
        <w:t xml:space="preserve">2.2 </w:t>
      </w:r>
      <w:r>
        <w:rPr>
          <w:rFonts w:hint="eastAsia" w:asciiTheme="minorEastAsia" w:hAnsiTheme="minorEastAsia" w:eastAsiaTheme="minorEastAsia" w:cstheme="minorEastAsia"/>
          <w:color w:val="auto"/>
          <w:spacing w:val="-7"/>
        </w:rPr>
        <w:t>条规定提供财务报告复印件的投标人</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2"/>
        </w:rPr>
        <w:t xml:space="preserve">包括但不限于： </w:t>
      </w:r>
      <w:r>
        <w:rPr>
          <w:rFonts w:hint="eastAsia" w:asciiTheme="minorEastAsia" w:hAnsiTheme="minorEastAsia" w:eastAsiaTheme="minorEastAsia" w:cstheme="minorEastAsia"/>
          <w:color w:val="auto"/>
          <w:spacing w:val="-10"/>
        </w:rPr>
        <w:t xml:space="preserve">成立年限满 </w:t>
      </w:r>
      <w:r>
        <w:rPr>
          <w:rFonts w:hint="eastAsia" w:asciiTheme="minorEastAsia" w:hAnsiTheme="minorEastAsia" w:eastAsiaTheme="minorEastAsia" w:cstheme="minorEastAsia"/>
          <w:color w:val="auto"/>
        </w:rPr>
        <w:t xml:space="preserve">1 </w:t>
      </w:r>
      <w:r>
        <w:rPr>
          <w:rFonts w:hint="eastAsia" w:asciiTheme="minorEastAsia" w:hAnsiTheme="minorEastAsia" w:eastAsiaTheme="minorEastAsia" w:cstheme="minorEastAsia"/>
          <w:color w:val="auto"/>
          <w:spacing w:val="-9"/>
        </w:rPr>
        <w:t xml:space="preserve">年及以上的投标人、成立年限满半年但不足 </w:t>
      </w:r>
      <w:r>
        <w:rPr>
          <w:rFonts w:hint="eastAsia" w:asciiTheme="minorEastAsia" w:hAnsiTheme="minorEastAsia" w:eastAsiaTheme="minorEastAsia" w:cstheme="minorEastAsia"/>
          <w:color w:val="auto"/>
        </w:rPr>
        <w:t xml:space="preserve">1 </w:t>
      </w:r>
      <w:r>
        <w:rPr>
          <w:rFonts w:hint="eastAsia" w:asciiTheme="minorEastAsia" w:hAnsiTheme="minorEastAsia" w:eastAsiaTheme="minorEastAsia" w:cstheme="minorEastAsia"/>
          <w:color w:val="auto"/>
          <w:spacing w:val="-7"/>
        </w:rPr>
        <w:t>年的投标人、成立年限不足半年的投标人），应按照本格式的要求选择提供资信证明复印件。</w:t>
      </w:r>
    </w:p>
    <w:p w14:paraId="5C27C16A">
      <w:pPr>
        <w:pStyle w:val="6"/>
        <w:tabs>
          <w:tab w:val="left" w:pos="7566"/>
          <w:tab w:val="left" w:pos="8286"/>
          <w:tab w:val="left" w:pos="9006"/>
        </w:tabs>
        <w:spacing w:before="2" w:line="364" w:lineRule="auto"/>
        <w:ind w:left="6366" w:right="577" w:hanging="720"/>
        <w:rPr>
          <w:rFonts w:hint="eastAsia" w:asciiTheme="minorEastAsia" w:hAnsiTheme="minorEastAsia" w:eastAsiaTheme="minorEastAsia" w:cstheme="minorEastAsia"/>
          <w:color w:val="auto"/>
        </w:rPr>
      </w:pPr>
    </w:p>
    <w:p w14:paraId="6ECA4439">
      <w:pPr>
        <w:pStyle w:val="6"/>
        <w:tabs>
          <w:tab w:val="left" w:pos="7566"/>
          <w:tab w:val="left" w:pos="8286"/>
          <w:tab w:val="left" w:pos="9006"/>
        </w:tabs>
        <w:spacing w:before="2" w:line="364" w:lineRule="auto"/>
        <w:ind w:left="6366" w:right="577" w:hanging="720"/>
        <w:rPr>
          <w:rFonts w:hint="eastAsia" w:asciiTheme="minorEastAsia" w:hAnsiTheme="minorEastAsia" w:eastAsiaTheme="minorEastAsia" w:cstheme="minorEastAsia"/>
          <w:color w:val="auto"/>
        </w:rPr>
      </w:pPr>
    </w:p>
    <w:p w14:paraId="15C8E017">
      <w:pPr>
        <w:pStyle w:val="6"/>
        <w:tabs>
          <w:tab w:val="left" w:pos="7566"/>
          <w:tab w:val="left" w:pos="8286"/>
          <w:tab w:val="left" w:pos="9006"/>
        </w:tabs>
        <w:spacing w:before="2"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5E2DB9F7">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3FFD3515">
      <w:pPr>
        <w:spacing w:before="42" w:line="364" w:lineRule="auto"/>
        <w:ind w:right="150" w:rightChars="0"/>
        <w:jc w:val="center"/>
        <w:rPr>
          <w:rFonts w:hint="eastAsia" w:asciiTheme="minorEastAsia" w:hAnsiTheme="minorEastAsia" w:eastAsiaTheme="minorEastAsia" w:cstheme="minorEastAsia"/>
          <w:b/>
          <w:color w:val="auto"/>
          <w:sz w:val="24"/>
        </w:rPr>
      </w:pPr>
      <w:bookmarkStart w:id="59" w:name="二-4依法缴纳税收证明材料"/>
      <w:bookmarkEnd w:id="59"/>
      <w:r>
        <w:rPr>
          <w:rFonts w:hint="eastAsia" w:asciiTheme="minorEastAsia" w:hAnsiTheme="minorEastAsia" w:eastAsiaTheme="minorEastAsia" w:cstheme="minorEastAsia"/>
          <w:b/>
          <w:color w:val="auto"/>
          <w:sz w:val="24"/>
        </w:rPr>
        <w:t>二-4 依法缴纳税收证明材料</w:t>
      </w:r>
    </w:p>
    <w:p w14:paraId="5A160F96">
      <w:pPr>
        <w:spacing w:before="42" w:line="364" w:lineRule="auto"/>
        <w:ind w:right="3157"/>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致：</w:t>
      </w:r>
      <w:r>
        <w:rPr>
          <w:rFonts w:hint="eastAsia" w:asciiTheme="minorEastAsia" w:hAnsiTheme="minorEastAsia" w:eastAsiaTheme="minorEastAsia" w:cstheme="minorEastAsia"/>
          <w:color w:val="auto"/>
          <w:sz w:val="24"/>
          <w:u w:val="single"/>
        </w:rPr>
        <w:t>（采购人或采购代理机构）</w:t>
      </w:r>
    </w:p>
    <w:p w14:paraId="420938E4">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1、依法缴纳税收的投标人</w:t>
      </w:r>
    </w:p>
    <w:p w14:paraId="3DB512DA">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）法人（包括企业、事业单位和社会团体）的</w:t>
      </w:r>
    </w:p>
    <w:p w14:paraId="21694BF4">
      <w:pPr>
        <w:pStyle w:val="6"/>
        <w:spacing w:before="160"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现附上自</w:t>
      </w:r>
      <w:r>
        <w:rPr>
          <w:rFonts w:hint="eastAsia" w:asciiTheme="minorEastAsia" w:hAnsiTheme="minorEastAsia" w:eastAsiaTheme="minorEastAsia" w:cstheme="minorEastAsia"/>
          <w:color w:val="auto"/>
          <w:u w:val="single"/>
        </w:rPr>
        <w:t xml:space="preserve">   年    月    日</w:t>
      </w:r>
      <w:r>
        <w:rPr>
          <w:rFonts w:hint="eastAsia" w:asciiTheme="minorEastAsia" w:hAnsiTheme="minorEastAsia" w:eastAsiaTheme="minorEastAsia" w:cstheme="minorEastAsia"/>
          <w:color w:val="auto"/>
        </w:rPr>
        <w:t>至</w:t>
      </w:r>
      <w:r>
        <w:rPr>
          <w:rFonts w:hint="eastAsia" w:asciiTheme="minorEastAsia" w:hAnsiTheme="minorEastAsia" w:eastAsiaTheme="minorEastAsia" w:cstheme="minorEastAsia"/>
          <w:color w:val="auto"/>
          <w:u w:val="single"/>
        </w:rPr>
        <w:t xml:space="preserve">    年    月    日</w:t>
      </w:r>
      <w:r>
        <w:rPr>
          <w:rFonts w:hint="eastAsia" w:asciiTheme="minorEastAsia" w:hAnsiTheme="minorEastAsia" w:eastAsiaTheme="minorEastAsia" w:cstheme="minorEastAsia"/>
          <w:color w:val="auto"/>
          <w:spacing w:val="-16"/>
        </w:rPr>
        <w:t>期间我方缴纳</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3"/>
        </w:rPr>
        <w:t>包括但不限于</w:t>
      </w:r>
      <w:r>
        <w:rPr>
          <w:rFonts w:hint="eastAsia" w:asciiTheme="minorEastAsia" w:hAnsiTheme="minorEastAsia" w:eastAsiaTheme="minorEastAsia" w:cstheme="minorEastAsia"/>
          <w:color w:val="auto"/>
          <w:spacing w:val="-4"/>
        </w:rPr>
        <w:t>税务机关出具的专用收据、税收缴纳证明或税收代缴银行的缴款收讫凭证</w:t>
      </w:r>
      <w:r>
        <w:rPr>
          <w:rFonts w:hint="eastAsia" w:asciiTheme="minorEastAsia" w:hAnsiTheme="minorEastAsia" w:eastAsiaTheme="minorEastAsia" w:cstheme="minorEastAsia"/>
          <w:color w:val="auto"/>
          <w:spacing w:val="-46"/>
        </w:rPr>
        <w:t>）</w:t>
      </w:r>
      <w:r>
        <w:rPr>
          <w:rFonts w:hint="eastAsia" w:asciiTheme="minorEastAsia" w:hAnsiTheme="minorEastAsia" w:eastAsiaTheme="minorEastAsia" w:cstheme="minorEastAsia"/>
          <w:color w:val="auto"/>
          <w:spacing w:val="-4"/>
        </w:rPr>
        <w:t>等税收凭据</w:t>
      </w:r>
      <w:r>
        <w:rPr>
          <w:rFonts w:hint="eastAsia" w:asciiTheme="minorEastAsia" w:hAnsiTheme="minorEastAsia" w:eastAsiaTheme="minorEastAsia" w:cstheme="minorEastAsia"/>
          <w:color w:val="auto"/>
        </w:rPr>
        <w:t>复印件，上述证明材料真实有效，否则我方负全部责任。</w:t>
      </w:r>
    </w:p>
    <w:p w14:paraId="09F5370C">
      <w:pPr>
        <w:pStyle w:val="6"/>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）非法人（包括其他组织、自然人）的</w:t>
      </w:r>
    </w:p>
    <w:p w14:paraId="48F660DF">
      <w:pPr>
        <w:pStyle w:val="6"/>
        <w:spacing w:before="160"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现附上自</w:t>
      </w:r>
      <w:r>
        <w:rPr>
          <w:rFonts w:hint="eastAsia" w:asciiTheme="minorEastAsia" w:hAnsiTheme="minorEastAsia" w:eastAsiaTheme="minorEastAsia" w:cstheme="minorEastAsia"/>
          <w:color w:val="auto"/>
          <w:u w:val="single"/>
        </w:rPr>
        <w:t xml:space="preserve">   年    月    日</w:t>
      </w:r>
      <w:r>
        <w:rPr>
          <w:rFonts w:hint="eastAsia" w:asciiTheme="minorEastAsia" w:hAnsiTheme="minorEastAsia" w:eastAsiaTheme="minorEastAsia" w:cstheme="minorEastAsia"/>
          <w:color w:val="auto"/>
        </w:rPr>
        <w:t>至</w:t>
      </w:r>
      <w:r>
        <w:rPr>
          <w:rFonts w:hint="eastAsia" w:asciiTheme="minorEastAsia" w:hAnsiTheme="minorEastAsia" w:eastAsiaTheme="minorEastAsia" w:cstheme="minorEastAsia"/>
          <w:color w:val="auto"/>
          <w:u w:val="single"/>
        </w:rPr>
        <w:t xml:space="preserve">    年    月    日</w:t>
      </w:r>
      <w:r>
        <w:rPr>
          <w:rFonts w:hint="eastAsia" w:asciiTheme="minorEastAsia" w:hAnsiTheme="minorEastAsia" w:eastAsiaTheme="minorEastAsia" w:cstheme="minorEastAsia"/>
          <w:color w:val="auto"/>
          <w:spacing w:val="-16"/>
        </w:rPr>
        <w:t>期间我方缴纳</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3"/>
        </w:rPr>
        <w:t>包括但不限于</w:t>
      </w:r>
      <w:r>
        <w:rPr>
          <w:rFonts w:hint="eastAsia" w:asciiTheme="minorEastAsia" w:hAnsiTheme="minorEastAsia" w:eastAsiaTheme="minorEastAsia" w:cstheme="minorEastAsia"/>
          <w:color w:val="auto"/>
          <w:spacing w:val="-4"/>
        </w:rPr>
        <w:t>税务机关出具的专用收据、税收缴纳证明或税收代缴银行的缴款收讫凭证</w:t>
      </w:r>
      <w:r>
        <w:rPr>
          <w:rFonts w:hint="eastAsia" w:asciiTheme="minorEastAsia" w:hAnsiTheme="minorEastAsia" w:eastAsiaTheme="minorEastAsia" w:cstheme="minorEastAsia"/>
          <w:color w:val="auto"/>
          <w:spacing w:val="-46"/>
        </w:rPr>
        <w:t>）</w:t>
      </w:r>
      <w:r>
        <w:rPr>
          <w:rFonts w:hint="eastAsia" w:asciiTheme="minorEastAsia" w:hAnsiTheme="minorEastAsia" w:eastAsiaTheme="minorEastAsia" w:cstheme="minorEastAsia"/>
          <w:color w:val="auto"/>
          <w:spacing w:val="-4"/>
        </w:rPr>
        <w:t>等税收凭据</w:t>
      </w:r>
      <w:r>
        <w:rPr>
          <w:rFonts w:hint="eastAsia" w:asciiTheme="minorEastAsia" w:hAnsiTheme="minorEastAsia" w:eastAsiaTheme="minorEastAsia" w:cstheme="minorEastAsia"/>
          <w:color w:val="auto"/>
        </w:rPr>
        <w:t>复印件，上述证明材料真实有效，否则我方负全部责任。</w:t>
      </w:r>
    </w:p>
    <w:p w14:paraId="2449E040">
      <w:pPr>
        <w:pStyle w:val="6"/>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2、依法免税的投标人</w:t>
      </w:r>
    </w:p>
    <w:p w14:paraId="772A4C7C">
      <w:pPr>
        <w:pStyle w:val="6"/>
        <w:spacing w:before="161" w:line="364" w:lineRule="auto"/>
        <w:ind w:right="580"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16"/>
        </w:rPr>
        <w:t xml:space="preserve"> </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1"/>
        </w:rPr>
        <w:t>现附上我方依法免税的证明材料复印件，上述证明材料真实有效，否则我方</w:t>
      </w:r>
      <w:r>
        <w:rPr>
          <w:rFonts w:hint="eastAsia" w:asciiTheme="minorEastAsia" w:hAnsiTheme="minorEastAsia" w:eastAsiaTheme="minorEastAsia" w:cstheme="minorEastAsia"/>
          <w:color w:val="auto"/>
        </w:rPr>
        <w:t>负全部责任。</w:t>
      </w:r>
    </w:p>
    <w:p w14:paraId="2419A237">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7F6AFCB5">
      <w:pPr>
        <w:pStyle w:val="6"/>
        <w:spacing w:before="160" w:line="364" w:lineRule="auto"/>
        <w:ind w:right="580"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1、请投标人按照实际情况编制填写，在相应的（）中打“√”，并按照本格式的要求提供相应证明材料的复印件。</w:t>
      </w:r>
    </w:p>
    <w:p w14:paraId="72BE3428">
      <w:pPr>
        <w:pStyle w:val="6"/>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2、投标人提供的税收缴纳凭据复印件应符合下列规定：</w:t>
      </w:r>
    </w:p>
    <w:p w14:paraId="187BCAC1">
      <w:pPr>
        <w:pStyle w:val="24"/>
        <w:numPr>
          <w:ilvl w:val="1"/>
          <w:numId w:val="73"/>
        </w:numPr>
        <w:tabs>
          <w:tab w:val="left" w:pos="1065"/>
        </w:tabs>
        <w:spacing w:before="160" w:after="0" w:line="364" w:lineRule="auto"/>
        <w:ind w:left="220" w:right="45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投标截止时间前（不含投标截止时间的当月）已依法缴纳税收的投标人，提供</w:t>
      </w:r>
      <w:r>
        <w:rPr>
          <w:rFonts w:hint="eastAsia" w:asciiTheme="minorEastAsia" w:hAnsiTheme="minorEastAsia" w:eastAsiaTheme="minorEastAsia" w:cstheme="minorEastAsia"/>
          <w:color w:val="auto"/>
          <w:spacing w:val="-11"/>
          <w:sz w:val="24"/>
        </w:rPr>
        <w:t>投标截止时间前六个月</w:t>
      </w:r>
      <w:r>
        <w:rPr>
          <w:rFonts w:hint="eastAsia" w:asciiTheme="minorEastAsia" w:hAnsiTheme="minorEastAsia" w:eastAsiaTheme="minorEastAsia" w:cstheme="minorEastAsia"/>
          <w:color w:val="auto"/>
          <w:sz w:val="24"/>
        </w:rPr>
        <w:t>（不含投标截止时间的当月</w:t>
      </w:r>
      <w:r>
        <w:rPr>
          <w:rFonts w:hint="eastAsia" w:asciiTheme="minorEastAsia" w:hAnsiTheme="minorEastAsia" w:eastAsiaTheme="minorEastAsia" w:cstheme="minorEastAsia"/>
          <w:color w:val="auto"/>
          <w:spacing w:val="-106"/>
          <w:sz w:val="24"/>
        </w:rPr>
        <w:t>）</w:t>
      </w:r>
      <w:r>
        <w:rPr>
          <w:rFonts w:hint="eastAsia" w:asciiTheme="minorEastAsia" w:hAnsiTheme="minorEastAsia" w:eastAsiaTheme="minorEastAsia" w:cstheme="minorEastAsia"/>
          <w:color w:val="auto"/>
          <w:spacing w:val="-2"/>
          <w:sz w:val="24"/>
        </w:rPr>
        <w:t>中任一月份的税收缴纳凭据复印件。</w:t>
      </w:r>
    </w:p>
    <w:p w14:paraId="6E66D0AC">
      <w:pPr>
        <w:pStyle w:val="24"/>
        <w:numPr>
          <w:ilvl w:val="1"/>
          <w:numId w:val="73"/>
        </w:numPr>
        <w:tabs>
          <w:tab w:val="left" w:pos="1063"/>
        </w:tabs>
        <w:spacing w:before="1"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投标截止时间的当月成立的投标人，视同满足本项资格条件要求。</w:t>
      </w:r>
    </w:p>
    <w:p w14:paraId="365587D7">
      <w:pPr>
        <w:pStyle w:val="6"/>
        <w:spacing w:before="16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3、若为依法免税范围的投标人，提供依法免税证明材料的，视同满足本项资格条件要求。</w:t>
      </w:r>
    </w:p>
    <w:p w14:paraId="33434375">
      <w:pPr>
        <w:pStyle w:val="6"/>
        <w:tabs>
          <w:tab w:val="left" w:pos="7566"/>
          <w:tab w:val="left" w:pos="8286"/>
          <w:tab w:val="left" w:pos="9006"/>
        </w:tabs>
        <w:spacing w:before="1" w:line="364" w:lineRule="auto"/>
        <w:ind w:left="6366" w:right="577" w:hanging="720"/>
        <w:rPr>
          <w:rFonts w:hint="eastAsia" w:asciiTheme="minorEastAsia" w:hAnsiTheme="minorEastAsia" w:eastAsiaTheme="minorEastAsia" w:cstheme="minorEastAsia"/>
          <w:color w:val="auto"/>
        </w:rPr>
      </w:pPr>
    </w:p>
    <w:p w14:paraId="2BF39601">
      <w:pPr>
        <w:pStyle w:val="6"/>
        <w:tabs>
          <w:tab w:val="left" w:pos="7566"/>
          <w:tab w:val="left" w:pos="8286"/>
          <w:tab w:val="left" w:pos="9006"/>
        </w:tabs>
        <w:spacing w:before="1"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58DC93A7">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0602DC11">
      <w:pPr>
        <w:tabs>
          <w:tab w:val="left" w:pos="7040"/>
          <w:tab w:val="left" w:pos="9680"/>
        </w:tabs>
        <w:spacing w:before="42" w:line="364" w:lineRule="auto"/>
        <w:ind w:right="150" w:rightChars="0"/>
        <w:jc w:val="center"/>
        <w:rPr>
          <w:rFonts w:hint="eastAsia" w:asciiTheme="minorEastAsia" w:hAnsiTheme="minorEastAsia" w:eastAsiaTheme="minorEastAsia" w:cstheme="minorEastAsia"/>
          <w:b/>
          <w:color w:val="auto"/>
          <w:sz w:val="24"/>
        </w:rPr>
      </w:pPr>
      <w:bookmarkStart w:id="60" w:name="二-5依法缴纳社会保障资金证明材料"/>
      <w:bookmarkEnd w:id="60"/>
      <w:r>
        <w:rPr>
          <w:rFonts w:hint="eastAsia" w:asciiTheme="minorEastAsia" w:hAnsiTheme="minorEastAsia" w:eastAsiaTheme="minorEastAsia" w:cstheme="minorEastAsia"/>
          <w:b/>
          <w:color w:val="auto"/>
          <w:sz w:val="24"/>
        </w:rPr>
        <w:t>二-5 依法缴纳社会保障资金证明材料</w:t>
      </w:r>
    </w:p>
    <w:p w14:paraId="52C1FC32">
      <w:pPr>
        <w:spacing w:before="42" w:line="364" w:lineRule="auto"/>
        <w:ind w:right="2677"/>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致：</w:t>
      </w:r>
      <w:r>
        <w:rPr>
          <w:rFonts w:hint="eastAsia" w:asciiTheme="minorEastAsia" w:hAnsiTheme="minorEastAsia" w:eastAsiaTheme="minorEastAsia" w:cstheme="minorEastAsia"/>
          <w:color w:val="auto"/>
          <w:sz w:val="24"/>
          <w:u w:val="single"/>
        </w:rPr>
        <w:t>（采购人或采购代理机构）</w:t>
      </w:r>
    </w:p>
    <w:p w14:paraId="15AAE2CB">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1、依法缴纳社会保障资金的投标人</w:t>
      </w:r>
    </w:p>
    <w:p w14:paraId="65797B9F">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）法人（包括企业、事业单位和社会团体）的</w:t>
      </w:r>
    </w:p>
    <w:p w14:paraId="15A079B4">
      <w:pPr>
        <w:pStyle w:val="6"/>
        <w:tabs>
          <w:tab w:val="left" w:pos="2139"/>
          <w:tab w:val="left" w:pos="2859"/>
          <w:tab w:val="left" w:pos="3579"/>
          <w:tab w:val="left" w:pos="4539"/>
          <w:tab w:val="left" w:pos="5259"/>
          <w:tab w:val="left" w:pos="5979"/>
        </w:tabs>
        <w:spacing w:before="160" w:line="364" w:lineRule="auto"/>
        <w:ind w:right="33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现附上自</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日</w:t>
      </w:r>
      <w:r>
        <w:rPr>
          <w:rFonts w:hint="eastAsia" w:asciiTheme="minorEastAsia" w:hAnsiTheme="minorEastAsia" w:eastAsiaTheme="minorEastAsia" w:cstheme="minorEastAsia"/>
          <w:color w:val="auto"/>
        </w:rPr>
        <w:t>至</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日</w:t>
      </w:r>
      <w:r>
        <w:rPr>
          <w:rFonts w:hint="eastAsia" w:asciiTheme="minorEastAsia" w:hAnsiTheme="minorEastAsia" w:eastAsiaTheme="minorEastAsia" w:cstheme="minorEastAsia"/>
          <w:color w:val="auto"/>
        </w:rPr>
        <w:t>我方缴纳的社会保险凭</w:t>
      </w:r>
      <w:r>
        <w:rPr>
          <w:rFonts w:hint="eastAsia" w:asciiTheme="minorEastAsia" w:hAnsiTheme="minorEastAsia" w:eastAsiaTheme="minorEastAsia" w:cstheme="minorEastAsia"/>
          <w:color w:val="auto"/>
          <w:spacing w:val="-94"/>
        </w:rPr>
        <w:t>据</w:t>
      </w:r>
      <w:r>
        <w:rPr>
          <w:rFonts w:hint="eastAsia" w:asciiTheme="minorEastAsia" w:hAnsiTheme="minorEastAsia" w:eastAsiaTheme="minorEastAsia" w:cstheme="minorEastAsia"/>
          <w:color w:val="auto"/>
        </w:rPr>
        <w:t>（限</w:t>
      </w:r>
      <w:r>
        <w:rPr>
          <w:rFonts w:hint="eastAsia" w:asciiTheme="minorEastAsia" w:hAnsiTheme="minorEastAsia" w:eastAsiaTheme="minorEastAsia" w:cstheme="minorEastAsia"/>
          <w:color w:val="auto"/>
          <w:spacing w:val="-16"/>
        </w:rPr>
        <w:t xml:space="preserve">： </w:t>
      </w:r>
      <w:r>
        <w:rPr>
          <w:rFonts w:hint="eastAsia" w:asciiTheme="minorEastAsia" w:hAnsiTheme="minorEastAsia" w:eastAsiaTheme="minorEastAsia" w:cstheme="minorEastAsia"/>
          <w:color w:val="auto"/>
        </w:rPr>
        <w:t>税务机关/社会保障资金管理机关的专用收据或社会保险缴纳清单，或社会保险的银行 缴款收讫凭证）复印件，上述证明材料真实有效，否则我方负全部责任。</w:t>
      </w:r>
    </w:p>
    <w:p w14:paraId="5B25EE07">
      <w:pPr>
        <w:pStyle w:val="6"/>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）非法人（包括其他组织、自然人）的</w:t>
      </w:r>
    </w:p>
    <w:p w14:paraId="30D615FA">
      <w:pPr>
        <w:pStyle w:val="6"/>
        <w:spacing w:before="160"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自</w:t>
      </w:r>
      <w:r>
        <w:rPr>
          <w:rFonts w:hint="eastAsia" w:asciiTheme="minorEastAsia" w:hAnsiTheme="minorEastAsia" w:eastAsiaTheme="minorEastAsia" w:cstheme="minorEastAsia"/>
          <w:color w:val="auto"/>
          <w:u w:val="single"/>
        </w:rPr>
        <w:t xml:space="preserve">   年    月    日</w:t>
      </w:r>
      <w:r>
        <w:rPr>
          <w:rFonts w:hint="eastAsia" w:asciiTheme="minorEastAsia" w:hAnsiTheme="minorEastAsia" w:eastAsiaTheme="minorEastAsia" w:cstheme="minorEastAsia"/>
          <w:color w:val="auto"/>
        </w:rPr>
        <w:t>至</w:t>
      </w:r>
      <w:r>
        <w:rPr>
          <w:rFonts w:hint="eastAsia" w:asciiTheme="minorEastAsia" w:hAnsiTheme="minorEastAsia" w:eastAsiaTheme="minorEastAsia" w:cstheme="minorEastAsia"/>
          <w:color w:val="auto"/>
          <w:u w:val="single"/>
        </w:rPr>
        <w:t xml:space="preserve">    年    月    日</w:t>
      </w:r>
      <w:r>
        <w:rPr>
          <w:rFonts w:hint="eastAsia" w:asciiTheme="minorEastAsia" w:hAnsiTheme="minorEastAsia" w:eastAsiaTheme="minorEastAsia" w:cstheme="minorEastAsia"/>
          <w:color w:val="auto"/>
        </w:rPr>
        <w:t>我方缴纳的社会保险凭据（限：税务机关/社会保障资金管理机关的专用收据或社会保险缴纳清单，或社会保险的银行缴款收讫凭证）复印件，上述证明材料真实有效，否则我方负全部责任。</w:t>
      </w:r>
    </w:p>
    <w:p w14:paraId="3DF02D8B">
      <w:pPr>
        <w:pStyle w:val="6"/>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2、依法不需要缴纳或暂缓缴纳社会保障资金的投标人</w:t>
      </w:r>
    </w:p>
    <w:p w14:paraId="7F78C639">
      <w:pPr>
        <w:pStyle w:val="6"/>
        <w:spacing w:before="161" w:line="364" w:lineRule="auto"/>
        <w:ind w:right="580"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）现附上我方依法不需要缴纳或暂缓缴纳社会保障资金证明材料复印件，上述证明材料真实有效，否则我方负全部责任。</w:t>
      </w:r>
    </w:p>
    <w:p w14:paraId="58CD4CBA">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60C21AC7">
      <w:pPr>
        <w:pStyle w:val="6"/>
        <w:spacing w:before="160" w:line="364" w:lineRule="auto"/>
        <w:ind w:right="580"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1、请投标人按照实际情况编制填写，在相应的（）中打“√”，并按照本格式的要求提供相应证明材料的复印件。</w:t>
      </w:r>
    </w:p>
    <w:p w14:paraId="0C48068B">
      <w:pPr>
        <w:pStyle w:val="6"/>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2、投标人提供的社会保障资金缴纳凭据复印件应符合下列规定：</w:t>
      </w:r>
    </w:p>
    <w:p w14:paraId="2B80A08C">
      <w:pPr>
        <w:pStyle w:val="24"/>
        <w:numPr>
          <w:ilvl w:val="1"/>
          <w:numId w:val="74"/>
        </w:numPr>
        <w:tabs>
          <w:tab w:val="left" w:pos="1065"/>
        </w:tabs>
        <w:spacing w:before="160" w:after="0" w:line="364"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投标截止时间前（不含投标截止时间的当月）</w:t>
      </w:r>
      <w:r>
        <w:rPr>
          <w:rFonts w:hint="eastAsia" w:asciiTheme="minorEastAsia" w:hAnsiTheme="minorEastAsia" w:eastAsiaTheme="minorEastAsia" w:cstheme="minorEastAsia"/>
          <w:color w:val="auto"/>
          <w:spacing w:val="-1"/>
          <w:sz w:val="24"/>
        </w:rPr>
        <w:t>已依法缴纳社会保障资金的投标</w:t>
      </w:r>
      <w:r>
        <w:rPr>
          <w:rFonts w:hint="eastAsia" w:asciiTheme="minorEastAsia" w:hAnsiTheme="minorEastAsia" w:eastAsiaTheme="minorEastAsia" w:cstheme="minorEastAsia"/>
          <w:color w:val="auto"/>
          <w:spacing w:val="-8"/>
          <w:sz w:val="24"/>
        </w:rPr>
        <w:t>人，提供投标截止时间前六个月</w:t>
      </w:r>
      <w:r>
        <w:rPr>
          <w:rFonts w:hint="eastAsia" w:asciiTheme="minorEastAsia" w:hAnsiTheme="minorEastAsia" w:eastAsiaTheme="minorEastAsia" w:cstheme="minorEastAsia"/>
          <w:color w:val="auto"/>
          <w:sz w:val="24"/>
        </w:rPr>
        <w:t>（不含投标截止时间的当月</w:t>
      </w:r>
      <w:r>
        <w:rPr>
          <w:rFonts w:hint="eastAsia" w:asciiTheme="minorEastAsia" w:hAnsiTheme="minorEastAsia" w:eastAsiaTheme="minorEastAsia" w:cstheme="minorEastAsia"/>
          <w:color w:val="auto"/>
          <w:spacing w:val="-34"/>
          <w:sz w:val="24"/>
        </w:rPr>
        <w:t>）</w:t>
      </w:r>
      <w:r>
        <w:rPr>
          <w:rFonts w:hint="eastAsia" w:asciiTheme="minorEastAsia" w:hAnsiTheme="minorEastAsia" w:eastAsiaTheme="minorEastAsia" w:cstheme="minorEastAsia"/>
          <w:color w:val="auto"/>
          <w:spacing w:val="-2"/>
          <w:sz w:val="24"/>
        </w:rPr>
        <w:t>中任一月份的社会保障资</w:t>
      </w:r>
      <w:r>
        <w:rPr>
          <w:rFonts w:hint="eastAsia" w:asciiTheme="minorEastAsia" w:hAnsiTheme="minorEastAsia" w:eastAsiaTheme="minorEastAsia" w:cstheme="minorEastAsia"/>
          <w:color w:val="auto"/>
          <w:sz w:val="24"/>
        </w:rPr>
        <w:t>金缴纳凭据复印件。</w:t>
      </w:r>
    </w:p>
    <w:p w14:paraId="506598E8">
      <w:pPr>
        <w:pStyle w:val="24"/>
        <w:numPr>
          <w:ilvl w:val="1"/>
          <w:numId w:val="74"/>
        </w:numPr>
        <w:tabs>
          <w:tab w:val="left" w:pos="1063"/>
        </w:tabs>
        <w:spacing w:before="2"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投标截止时间的当月成立的投标人，视同满足本项资格条件要求。</w:t>
      </w:r>
    </w:p>
    <w:p w14:paraId="2F46D00D">
      <w:pPr>
        <w:pStyle w:val="6"/>
        <w:spacing w:before="160"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3、若为依法不需要缴纳或暂缓缴纳社会保障资金的投标人，提供依法不需要缴纳或暂缓缴纳社会保障资金证明材料的，视同满足本项资格条件要求。</w:t>
      </w:r>
    </w:p>
    <w:p w14:paraId="75D34543">
      <w:pPr>
        <w:pStyle w:val="6"/>
        <w:tabs>
          <w:tab w:val="left" w:pos="7566"/>
          <w:tab w:val="left" w:pos="8286"/>
          <w:tab w:val="left" w:pos="9006"/>
        </w:tabs>
        <w:spacing w:before="2" w:line="364" w:lineRule="auto"/>
        <w:ind w:left="6366" w:right="577" w:hanging="720"/>
        <w:rPr>
          <w:rFonts w:hint="eastAsia" w:asciiTheme="minorEastAsia" w:hAnsiTheme="minorEastAsia" w:eastAsiaTheme="minorEastAsia" w:cstheme="minorEastAsia"/>
          <w:color w:val="auto"/>
        </w:rPr>
      </w:pPr>
    </w:p>
    <w:p w14:paraId="3105D54A">
      <w:pPr>
        <w:pStyle w:val="6"/>
        <w:tabs>
          <w:tab w:val="left" w:pos="7566"/>
          <w:tab w:val="left" w:pos="8286"/>
          <w:tab w:val="left" w:pos="9006"/>
        </w:tabs>
        <w:spacing w:before="2"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6A244560">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7234A8CF">
      <w:pPr>
        <w:tabs>
          <w:tab w:val="left" w:pos="9680"/>
        </w:tabs>
        <w:spacing w:before="42" w:line="364" w:lineRule="auto"/>
        <w:ind w:right="150" w:rightChars="0"/>
        <w:jc w:val="center"/>
        <w:rPr>
          <w:rFonts w:hint="eastAsia" w:asciiTheme="minorEastAsia" w:hAnsiTheme="minorEastAsia" w:eastAsiaTheme="minorEastAsia" w:cstheme="minorEastAsia"/>
          <w:b/>
          <w:color w:val="auto"/>
          <w:sz w:val="24"/>
        </w:rPr>
      </w:pPr>
      <w:bookmarkStart w:id="61" w:name="二-6具备履行合同所必需设备和专业技术能力的声明函（若有）"/>
      <w:bookmarkEnd w:id="61"/>
      <w:r>
        <w:rPr>
          <w:rFonts w:hint="eastAsia" w:asciiTheme="minorEastAsia" w:hAnsiTheme="minorEastAsia" w:eastAsiaTheme="minorEastAsia" w:cstheme="minorEastAsia"/>
          <w:b/>
          <w:color w:val="auto"/>
          <w:sz w:val="24"/>
        </w:rPr>
        <w:t>二-6 具备履行合同所必需设备和专业技术能力的声明函（若有）</w:t>
      </w:r>
    </w:p>
    <w:p w14:paraId="3F6B3753">
      <w:pPr>
        <w:spacing w:before="42" w:line="364" w:lineRule="auto"/>
        <w:ind w:right="123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致：</w:t>
      </w:r>
      <w:r>
        <w:rPr>
          <w:rFonts w:hint="eastAsia" w:asciiTheme="minorEastAsia" w:hAnsiTheme="minorEastAsia" w:eastAsiaTheme="minorEastAsia" w:cstheme="minorEastAsia"/>
          <w:color w:val="auto"/>
          <w:sz w:val="24"/>
          <w:u w:val="single"/>
        </w:rPr>
        <w:t>（采购人或采购代理机构）</w:t>
      </w:r>
    </w:p>
    <w:p w14:paraId="2C6ACAE2">
      <w:pPr>
        <w:pStyle w:val="6"/>
        <w:spacing w:before="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我方具备履行合同所必需的设备和专业技术能力，否则产生不利后果由我方承担责</w:t>
      </w:r>
      <w:r>
        <w:rPr>
          <w:rFonts w:hint="eastAsia" w:asciiTheme="minorEastAsia" w:hAnsiTheme="minorEastAsia" w:eastAsiaTheme="minorEastAsia" w:cstheme="minorEastAsia"/>
          <w:color w:val="auto"/>
        </w:rPr>
        <w:t>任。</w:t>
      </w:r>
    </w:p>
    <w:p w14:paraId="023C5B29">
      <w:pPr>
        <w:pStyle w:val="6"/>
        <w:spacing w:before="1"/>
        <w:ind w:left="11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特此声明。</w:t>
      </w:r>
    </w:p>
    <w:p w14:paraId="223CC123">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364172BC">
      <w:pPr>
        <w:pStyle w:val="6"/>
        <w:spacing w:before="160"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w:t>
      </w:r>
      <w:r>
        <w:rPr>
          <w:rFonts w:hint="eastAsia" w:asciiTheme="minorEastAsia" w:hAnsiTheme="minorEastAsia" w:eastAsiaTheme="minorEastAsia" w:cstheme="minorEastAsia"/>
          <w:color w:val="auto"/>
          <w:spacing w:val="-1"/>
        </w:rPr>
        <w:t>、招标文件未要求投标人提供“具备履行合同所必需的设备和专业技术能力专项</w:t>
      </w:r>
      <w:r>
        <w:rPr>
          <w:rFonts w:hint="eastAsia" w:asciiTheme="minorEastAsia" w:hAnsiTheme="minorEastAsia" w:eastAsiaTheme="minorEastAsia" w:cstheme="minorEastAsia"/>
          <w:color w:val="auto"/>
        </w:rPr>
        <w:t>证明材料”的，投标人应提供本声明函。</w:t>
      </w:r>
    </w:p>
    <w:p w14:paraId="75E4BD8D">
      <w:pPr>
        <w:pStyle w:val="6"/>
        <w:spacing w:before="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w:t>
      </w:r>
      <w:r>
        <w:rPr>
          <w:rFonts w:hint="eastAsia" w:asciiTheme="minorEastAsia" w:hAnsiTheme="minorEastAsia" w:eastAsiaTheme="minorEastAsia" w:cstheme="minorEastAsia"/>
          <w:color w:val="auto"/>
          <w:spacing w:val="-1"/>
        </w:rPr>
        <w:t>、招标文件要求投标人提供“具备履行合同所必需的设备和专业技术能力专项证</w:t>
      </w:r>
      <w:r>
        <w:rPr>
          <w:rFonts w:hint="eastAsia" w:asciiTheme="minorEastAsia" w:hAnsiTheme="minorEastAsia" w:eastAsiaTheme="minorEastAsia" w:cstheme="minorEastAsia"/>
          <w:color w:val="auto"/>
        </w:rPr>
        <w:t>明材料”的，投标人可不提供本声明函。</w:t>
      </w:r>
    </w:p>
    <w:p w14:paraId="28D0AE2A">
      <w:pPr>
        <w:pStyle w:val="6"/>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3、请投标人根据实际情况如实声明，否则视为提供虚假材料。</w:t>
      </w:r>
    </w:p>
    <w:p w14:paraId="2D397BBD">
      <w:pPr>
        <w:pStyle w:val="6"/>
        <w:tabs>
          <w:tab w:val="left" w:pos="7566"/>
          <w:tab w:val="left" w:pos="8286"/>
          <w:tab w:val="left" w:pos="9006"/>
        </w:tabs>
        <w:spacing w:before="160" w:line="364" w:lineRule="auto"/>
        <w:ind w:left="6366" w:right="577" w:hanging="720"/>
        <w:rPr>
          <w:rFonts w:hint="eastAsia" w:asciiTheme="minorEastAsia" w:hAnsiTheme="minorEastAsia" w:eastAsiaTheme="minorEastAsia" w:cstheme="minorEastAsia"/>
          <w:color w:val="auto"/>
        </w:rPr>
      </w:pPr>
    </w:p>
    <w:p w14:paraId="0038DE3C">
      <w:pPr>
        <w:pStyle w:val="6"/>
        <w:tabs>
          <w:tab w:val="left" w:pos="7566"/>
          <w:tab w:val="left" w:pos="8286"/>
          <w:tab w:val="left" w:pos="9006"/>
        </w:tabs>
        <w:spacing w:before="160"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0008B8AE">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41518ABA">
      <w:pPr>
        <w:tabs>
          <w:tab w:val="left" w:pos="9900"/>
        </w:tabs>
        <w:spacing w:before="42" w:line="364" w:lineRule="auto"/>
        <w:ind w:right="-70" w:rightChars="0"/>
        <w:jc w:val="center"/>
        <w:rPr>
          <w:rFonts w:hint="eastAsia" w:asciiTheme="minorEastAsia" w:hAnsiTheme="minorEastAsia" w:eastAsiaTheme="minorEastAsia" w:cstheme="minorEastAsia"/>
          <w:b/>
          <w:color w:val="auto"/>
          <w:sz w:val="24"/>
        </w:rPr>
      </w:pPr>
      <w:bookmarkStart w:id="62" w:name="二-7参加采购活动前三年内在经营活动中没有重大违法记录书面声明"/>
      <w:bookmarkEnd w:id="62"/>
      <w:r>
        <w:rPr>
          <w:rFonts w:hint="eastAsia" w:asciiTheme="minorEastAsia" w:hAnsiTheme="minorEastAsia" w:eastAsiaTheme="minorEastAsia" w:cstheme="minorEastAsia"/>
          <w:b/>
          <w:color w:val="auto"/>
          <w:sz w:val="24"/>
        </w:rPr>
        <w:t>二-7 参加采购活动前三年内在经营活动中没有重大违法记录书面声明</w:t>
      </w:r>
    </w:p>
    <w:p w14:paraId="6C023A1B">
      <w:pPr>
        <w:spacing w:before="42" w:line="364" w:lineRule="auto"/>
        <w:ind w:right="99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致：</w:t>
      </w:r>
      <w:r>
        <w:rPr>
          <w:rFonts w:hint="eastAsia" w:asciiTheme="minorEastAsia" w:hAnsiTheme="minorEastAsia" w:eastAsiaTheme="minorEastAsia" w:cstheme="minorEastAsia"/>
          <w:color w:val="auto"/>
          <w:sz w:val="24"/>
          <w:u w:val="single"/>
        </w:rPr>
        <w:t>（采购人或采购代理机构）</w:t>
      </w:r>
    </w:p>
    <w:p w14:paraId="5943D62F">
      <w:pPr>
        <w:pStyle w:val="6"/>
        <w:spacing w:before="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8"/>
        </w:rPr>
        <w:t>参加采购活动前三年内，我方在经营活动中没有重大违法记录，即没有因违法经营</w:t>
      </w:r>
      <w:r>
        <w:rPr>
          <w:rFonts w:hint="eastAsia" w:asciiTheme="minorEastAsia" w:hAnsiTheme="minorEastAsia" w:eastAsiaTheme="minorEastAsia" w:cstheme="minorEastAsia"/>
          <w:color w:val="auto"/>
          <w:spacing w:val="-7"/>
        </w:rPr>
        <w:t>受到刑事处罚或责令停产停业、吊销许可证或执照、较大数额罚款等行政处罚。否则产</w:t>
      </w:r>
      <w:r>
        <w:rPr>
          <w:rFonts w:hint="eastAsia" w:asciiTheme="minorEastAsia" w:hAnsiTheme="minorEastAsia" w:eastAsiaTheme="minorEastAsia" w:cstheme="minorEastAsia"/>
          <w:color w:val="auto"/>
        </w:rPr>
        <w:t>生不利后果由我方承担责任。</w:t>
      </w:r>
    </w:p>
    <w:p w14:paraId="48BCD6D2">
      <w:pPr>
        <w:pStyle w:val="6"/>
        <w:spacing w:before="2"/>
        <w:ind w:left="11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特此声明。</w:t>
      </w:r>
    </w:p>
    <w:p w14:paraId="2A487779">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6D204B99">
      <w:pPr>
        <w:pStyle w:val="6"/>
        <w:spacing w:before="16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9"/>
        </w:rPr>
        <w:t>“重大违法记录”指投标人因违法经营受到刑事处罚或责令停产停业、吊销许可证</w:t>
      </w:r>
      <w:r>
        <w:rPr>
          <w:rFonts w:hint="eastAsia" w:asciiTheme="minorEastAsia" w:hAnsiTheme="minorEastAsia" w:eastAsiaTheme="minorEastAsia" w:cstheme="minorEastAsia"/>
          <w:color w:val="auto"/>
          <w:spacing w:val="-4"/>
        </w:rPr>
        <w:t>或执照、较大数额罚款等行政处罚。根据财库〔</w:t>
      </w:r>
      <w:r>
        <w:rPr>
          <w:rFonts w:hint="eastAsia" w:asciiTheme="minorEastAsia" w:hAnsiTheme="minorEastAsia" w:eastAsiaTheme="minorEastAsia" w:cstheme="minorEastAsia"/>
          <w:color w:val="auto"/>
        </w:rPr>
        <w:t>2022</w:t>
      </w:r>
      <w:r>
        <w:rPr>
          <w:rFonts w:hint="eastAsia" w:asciiTheme="minorEastAsia" w:hAnsiTheme="minorEastAsia" w:eastAsiaTheme="minorEastAsia" w:cstheme="minorEastAsia"/>
          <w:color w:val="auto"/>
          <w:spacing w:val="-8"/>
        </w:rPr>
        <w:t>〕</w:t>
      </w:r>
      <w:r>
        <w:rPr>
          <w:rFonts w:hint="eastAsia" w:asciiTheme="minorEastAsia" w:hAnsiTheme="minorEastAsia" w:eastAsiaTheme="minorEastAsia" w:cstheme="minorEastAsia"/>
          <w:color w:val="auto"/>
        </w:rPr>
        <w:t xml:space="preserve">3 </w:t>
      </w:r>
      <w:r>
        <w:rPr>
          <w:rFonts w:hint="eastAsia" w:asciiTheme="minorEastAsia" w:hAnsiTheme="minorEastAsia" w:eastAsiaTheme="minorEastAsia" w:cstheme="minorEastAsia"/>
          <w:color w:val="auto"/>
          <w:spacing w:val="-3"/>
        </w:rPr>
        <w:t>号文件的规定，“较大数额罚</w:t>
      </w:r>
      <w:r>
        <w:rPr>
          <w:rFonts w:hint="eastAsia" w:asciiTheme="minorEastAsia" w:hAnsiTheme="minorEastAsia" w:eastAsiaTheme="minorEastAsia" w:cstheme="minorEastAsia"/>
          <w:color w:val="auto"/>
          <w:spacing w:val="-17"/>
        </w:rPr>
        <w:t xml:space="preserve">款”认定为 </w:t>
      </w:r>
      <w:r>
        <w:rPr>
          <w:rFonts w:hint="eastAsia" w:asciiTheme="minorEastAsia" w:hAnsiTheme="minorEastAsia" w:eastAsiaTheme="minorEastAsia" w:cstheme="minorEastAsia"/>
          <w:color w:val="auto"/>
        </w:rPr>
        <w:t xml:space="preserve">200 </w:t>
      </w:r>
      <w:r>
        <w:rPr>
          <w:rFonts w:hint="eastAsia" w:asciiTheme="minorEastAsia" w:hAnsiTheme="minorEastAsia" w:eastAsiaTheme="minorEastAsia" w:cstheme="minorEastAsia"/>
          <w:color w:val="auto"/>
          <w:spacing w:val="-9"/>
        </w:rPr>
        <w:t>万元以上的罚款，法律、行政法规以及国务院有关部门明确规定相关领</w:t>
      </w:r>
    </w:p>
    <w:p w14:paraId="27207491">
      <w:pPr>
        <w:pStyle w:val="6"/>
        <w:spacing w:before="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域“较大数额罚款”标准高于 200 万元的，从其规定。</w:t>
      </w:r>
    </w:p>
    <w:p w14:paraId="6CAC8495">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请投标人根据实际情况如实声明，否则视为提供虚假材料。</w:t>
      </w:r>
    </w:p>
    <w:p w14:paraId="58ECC0A6">
      <w:pPr>
        <w:pStyle w:val="6"/>
        <w:tabs>
          <w:tab w:val="left" w:pos="7566"/>
          <w:tab w:val="left" w:pos="8286"/>
          <w:tab w:val="left" w:pos="9006"/>
        </w:tabs>
        <w:spacing w:before="161" w:line="364" w:lineRule="auto"/>
        <w:ind w:left="6366" w:right="577" w:hanging="720"/>
        <w:rPr>
          <w:rFonts w:hint="eastAsia" w:asciiTheme="minorEastAsia" w:hAnsiTheme="minorEastAsia" w:eastAsiaTheme="minorEastAsia" w:cstheme="minorEastAsia"/>
          <w:color w:val="auto"/>
        </w:rPr>
      </w:pPr>
    </w:p>
    <w:p w14:paraId="40207571">
      <w:pPr>
        <w:pStyle w:val="6"/>
        <w:tabs>
          <w:tab w:val="left" w:pos="7566"/>
          <w:tab w:val="left" w:pos="8286"/>
          <w:tab w:val="left" w:pos="9006"/>
        </w:tabs>
        <w:spacing w:before="161"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64EDD66F">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0E55DD74">
      <w:pPr>
        <w:pStyle w:val="4"/>
        <w:spacing w:before="42"/>
        <w:ind w:left="4000"/>
        <w:rPr>
          <w:rFonts w:hint="eastAsia" w:asciiTheme="minorEastAsia" w:hAnsiTheme="minorEastAsia" w:eastAsiaTheme="minorEastAsia" w:cstheme="minorEastAsia"/>
          <w:color w:val="auto"/>
        </w:rPr>
      </w:pPr>
      <w:bookmarkStart w:id="63" w:name="二-8信用记录查询提示"/>
      <w:bookmarkEnd w:id="63"/>
      <w:r>
        <w:rPr>
          <w:rFonts w:hint="eastAsia" w:asciiTheme="minorEastAsia" w:hAnsiTheme="minorEastAsia" w:eastAsiaTheme="minorEastAsia" w:cstheme="minorEastAsia"/>
          <w:color w:val="auto"/>
        </w:rPr>
        <w:t>二-8 信用记录查询提示</w:t>
      </w:r>
    </w:p>
    <w:p w14:paraId="119083AF">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1、由资格审查小组通过网站查询并打印投标人的信用记录。</w:t>
      </w:r>
    </w:p>
    <w:p w14:paraId="627DAEAF">
      <w:pPr>
        <w:pStyle w:val="6"/>
        <w:spacing w:before="16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3"/>
        </w:rPr>
        <w:t>2</w:t>
      </w:r>
      <w:r>
        <w:rPr>
          <w:rFonts w:hint="eastAsia" w:asciiTheme="minorEastAsia" w:hAnsiTheme="minorEastAsia" w:eastAsiaTheme="minorEastAsia" w:cstheme="minorEastAsia"/>
          <w:color w:val="auto"/>
        </w:rPr>
        <w:t>、经查询，投标人参加本项目采购活动</w:t>
      </w:r>
      <w:r>
        <w:rPr>
          <w:rFonts w:hint="eastAsia" w:asciiTheme="minorEastAsia" w:hAnsiTheme="minorEastAsia" w:eastAsiaTheme="minorEastAsia" w:cstheme="minorEastAsia"/>
          <w:color w:val="auto"/>
          <w:spacing w:val="4"/>
        </w:rPr>
        <w:t>(</w:t>
      </w:r>
      <w:r>
        <w:rPr>
          <w:rFonts w:hint="eastAsia" w:asciiTheme="minorEastAsia" w:hAnsiTheme="minorEastAsia" w:eastAsiaTheme="minorEastAsia" w:cstheme="minorEastAsia"/>
          <w:color w:val="auto"/>
        </w:rPr>
        <w:t>投标截止时间</w:t>
      </w:r>
      <w:r>
        <w:rPr>
          <w:rFonts w:hint="eastAsia" w:asciiTheme="minorEastAsia" w:hAnsiTheme="minorEastAsia" w:eastAsiaTheme="minorEastAsia" w:cstheme="minorEastAsia"/>
          <w:color w:val="auto"/>
          <w:spacing w:val="4"/>
        </w:rPr>
        <w:t>)</w:t>
      </w:r>
      <w:r>
        <w:rPr>
          <w:rFonts w:hint="eastAsia" w:asciiTheme="minorEastAsia" w:hAnsiTheme="minorEastAsia" w:eastAsiaTheme="minorEastAsia" w:cstheme="minorEastAsia"/>
          <w:color w:val="auto"/>
        </w:rPr>
        <w:t>前三年内被列入失信被执</w:t>
      </w:r>
      <w:r>
        <w:rPr>
          <w:rFonts w:hint="eastAsia" w:asciiTheme="minorEastAsia" w:hAnsiTheme="minorEastAsia" w:eastAsiaTheme="minorEastAsia" w:cstheme="minorEastAsia"/>
          <w:color w:val="auto"/>
          <w:spacing w:val="-11"/>
        </w:rPr>
        <w:t>行人名单、重大税收违法案件当事人名单、政府采购严重违法失信行为记录名单及其他</w:t>
      </w:r>
      <w:r>
        <w:rPr>
          <w:rFonts w:hint="eastAsia" w:asciiTheme="minorEastAsia" w:hAnsiTheme="minorEastAsia" w:eastAsiaTheme="minorEastAsia" w:cstheme="minorEastAsia"/>
          <w:color w:val="auto"/>
        </w:rPr>
        <w:t>重大违法记录且相关信用惩戒期限未满的，其资格审查不合格。</w:t>
      </w:r>
    </w:p>
    <w:p w14:paraId="7692BF98">
      <w:pPr>
        <w:pStyle w:val="6"/>
        <w:spacing w:before="2"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w:t>
      </w:r>
      <w:r>
        <w:rPr>
          <w:rFonts w:hint="eastAsia" w:asciiTheme="minorEastAsia" w:hAnsiTheme="minorEastAsia" w:eastAsiaTheme="minorEastAsia" w:cstheme="minorEastAsia"/>
          <w:color w:val="auto"/>
          <w:spacing w:val="-2"/>
        </w:rPr>
        <w:t xml:space="preserve">、投标人应了解投标人自身的信用记录情况。当投标人受到 </w:t>
      </w:r>
      <w:r>
        <w:rPr>
          <w:rFonts w:hint="eastAsia" w:asciiTheme="minorEastAsia" w:hAnsiTheme="minorEastAsia" w:eastAsiaTheme="minorEastAsia" w:cstheme="minorEastAsia"/>
          <w:color w:val="auto"/>
        </w:rPr>
        <w:t>200 万以上罚款的行</w:t>
      </w:r>
      <w:r>
        <w:rPr>
          <w:rFonts w:hint="eastAsia" w:asciiTheme="minorEastAsia" w:hAnsiTheme="minorEastAsia" w:eastAsiaTheme="minorEastAsia" w:cstheme="minorEastAsia"/>
          <w:color w:val="auto"/>
          <w:spacing w:val="-7"/>
        </w:rPr>
        <w:t>政处罚且该罚款不属较大数额罚款时，投标人应在投标文件中提供此项罚款不属于较大</w:t>
      </w:r>
      <w:r>
        <w:rPr>
          <w:rFonts w:hint="eastAsia" w:asciiTheme="minorEastAsia" w:hAnsiTheme="minorEastAsia" w:eastAsiaTheme="minorEastAsia" w:cstheme="minorEastAsia"/>
          <w:color w:val="auto"/>
          <w:spacing w:val="-5"/>
        </w:rPr>
        <w:t>数额罚款的依据</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9"/>
        </w:rPr>
        <w:t>如提供：相关法律制度的规定、行政执法机构对该罚款不属于较大数</w:t>
      </w:r>
      <w:r>
        <w:rPr>
          <w:rFonts w:hint="eastAsia" w:asciiTheme="minorEastAsia" w:hAnsiTheme="minorEastAsia" w:eastAsiaTheme="minorEastAsia" w:cstheme="minorEastAsia"/>
          <w:color w:val="auto"/>
        </w:rPr>
        <w:t>额罚款的认定或者其他有效依据）。</w:t>
      </w:r>
    </w:p>
    <w:p w14:paraId="494AB7C9">
      <w:pPr>
        <w:spacing w:after="0" w:line="364" w:lineRule="auto"/>
        <w:jc w:val="both"/>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2D2829C9">
      <w:pPr>
        <w:pStyle w:val="4"/>
        <w:spacing w:before="42"/>
        <w:ind w:left="1343" w:right="748"/>
        <w:jc w:val="center"/>
        <w:rPr>
          <w:rFonts w:hint="eastAsia" w:asciiTheme="minorEastAsia" w:hAnsiTheme="minorEastAsia" w:eastAsiaTheme="minorEastAsia" w:cstheme="minorEastAsia"/>
          <w:color w:val="auto"/>
        </w:rPr>
      </w:pPr>
      <w:bookmarkStart w:id="64" w:name="二-9中小企业声明函"/>
      <w:bookmarkEnd w:id="64"/>
      <w:r>
        <w:rPr>
          <w:rFonts w:hint="eastAsia" w:asciiTheme="minorEastAsia" w:hAnsiTheme="minorEastAsia" w:eastAsiaTheme="minorEastAsia" w:cstheme="minorEastAsia"/>
          <w:color w:val="auto"/>
        </w:rPr>
        <w:t>二-9 中小企业声明函</w:t>
      </w:r>
    </w:p>
    <w:p w14:paraId="4EE6CF1D">
      <w:pPr>
        <w:spacing w:before="160" w:line="364" w:lineRule="auto"/>
        <w:ind w:left="2442" w:right="1840" w:firstLine="0"/>
        <w:jc w:val="center"/>
        <w:rPr>
          <w:rFonts w:hint="eastAsia" w:asciiTheme="minorEastAsia" w:hAnsiTheme="minorEastAsia" w:eastAsiaTheme="minorEastAsia" w:cstheme="minorEastAsia"/>
          <w:b/>
          <w:color w:val="auto"/>
          <w:sz w:val="24"/>
        </w:rPr>
      </w:pPr>
      <w:bookmarkStart w:id="65" w:name="（以资格条件落实中小企业扶持政策时适用，若有）"/>
      <w:bookmarkEnd w:id="65"/>
      <w:r>
        <w:rPr>
          <w:rFonts w:hint="eastAsia" w:asciiTheme="minorEastAsia" w:hAnsiTheme="minorEastAsia" w:eastAsiaTheme="minorEastAsia" w:cstheme="minorEastAsia"/>
          <w:b/>
          <w:color w:val="auto"/>
          <w:sz w:val="24"/>
        </w:rPr>
        <w:t xml:space="preserve">（以资格条件落实中小企业扶持政策时适用，若有） </w:t>
      </w:r>
      <w:bookmarkStart w:id="66" w:name="中小企业声明函（货物）"/>
      <w:bookmarkEnd w:id="66"/>
      <w:r>
        <w:rPr>
          <w:rFonts w:hint="eastAsia" w:asciiTheme="minorEastAsia" w:hAnsiTheme="minorEastAsia" w:eastAsiaTheme="minorEastAsia" w:cstheme="minorEastAsia"/>
          <w:b/>
          <w:color w:val="auto"/>
          <w:sz w:val="24"/>
        </w:rPr>
        <w:t>中小企业声明函（货物）</w:t>
      </w:r>
    </w:p>
    <w:p w14:paraId="47B29431">
      <w:pPr>
        <w:pStyle w:val="6"/>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本公司（联合体）郑重声明，根据《政府采购促进中小企业发展管理办法》（财库</w:t>
      </w:r>
    </w:p>
    <w:p w14:paraId="62CD2890">
      <w:pPr>
        <w:pStyle w:val="6"/>
        <w:spacing w:before="160" w:line="364" w:lineRule="auto"/>
        <w:ind w:right="577"/>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﹝2020﹞46 号）的规定，本公司（联合体）</w:t>
      </w:r>
      <w:r>
        <w:rPr>
          <w:rFonts w:hint="eastAsia" w:asciiTheme="minorEastAsia" w:hAnsiTheme="minorEastAsia" w:eastAsiaTheme="minorEastAsia" w:cstheme="minorEastAsia"/>
          <w:color w:val="auto"/>
          <w:spacing w:val="-2"/>
        </w:rPr>
        <w:t>参加</w:t>
      </w:r>
      <w:r>
        <w:rPr>
          <w:rFonts w:hint="eastAsia" w:asciiTheme="minorEastAsia" w:hAnsiTheme="minorEastAsia" w:eastAsiaTheme="minorEastAsia" w:cstheme="minorEastAsia"/>
          <w:color w:val="auto"/>
          <w:u w:val="single"/>
        </w:rPr>
        <w:t>（单位名称）</w:t>
      </w:r>
      <w:r>
        <w:rPr>
          <w:rFonts w:hint="eastAsia" w:asciiTheme="minorEastAsia" w:hAnsiTheme="minorEastAsia" w:eastAsiaTheme="minorEastAsia" w:cstheme="minorEastAsia"/>
          <w:color w:val="auto"/>
        </w:rPr>
        <w:t>的</w:t>
      </w:r>
      <w:r>
        <w:rPr>
          <w:rFonts w:hint="eastAsia" w:asciiTheme="minorEastAsia" w:hAnsiTheme="minorEastAsia" w:eastAsiaTheme="minorEastAsia" w:cstheme="minorEastAsia"/>
          <w:color w:val="auto"/>
          <w:u w:val="single"/>
        </w:rPr>
        <w:t>（项目名称）</w:t>
      </w:r>
      <w:r>
        <w:rPr>
          <w:rFonts w:hint="eastAsia" w:asciiTheme="minorEastAsia" w:hAnsiTheme="minorEastAsia" w:eastAsiaTheme="minorEastAsia" w:cstheme="minorEastAsia"/>
          <w:color w:val="auto"/>
        </w:rPr>
        <w:t>采购活</w:t>
      </w:r>
      <w:r>
        <w:rPr>
          <w:rFonts w:hint="eastAsia" w:asciiTheme="minorEastAsia" w:hAnsiTheme="minorEastAsia" w:eastAsiaTheme="minorEastAsia" w:cstheme="minorEastAsia"/>
          <w:color w:val="auto"/>
          <w:spacing w:val="-9"/>
        </w:rPr>
        <w:t>动，提供的货物全部由符合政策要求的中小企业制造。相关企业</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2"/>
        </w:rPr>
        <w:t>含联合体中的中小企</w:t>
      </w:r>
      <w:r>
        <w:rPr>
          <w:rFonts w:hint="eastAsia" w:asciiTheme="minorEastAsia" w:hAnsiTheme="minorEastAsia" w:eastAsiaTheme="minorEastAsia" w:cstheme="minorEastAsia"/>
          <w:color w:val="auto"/>
        </w:rPr>
        <w:t>业、签订分包意向协议的中小企业）的具体情况如下：</w:t>
      </w:r>
    </w:p>
    <w:p w14:paraId="5CEE5B44">
      <w:pPr>
        <w:pStyle w:val="6"/>
        <w:tabs>
          <w:tab w:val="left" w:pos="2379"/>
          <w:tab w:val="left" w:pos="5259"/>
          <w:tab w:val="left" w:pos="8379"/>
        </w:tabs>
        <w:spacing w:before="2"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w:t>
      </w:r>
      <w:r>
        <w:rPr>
          <w:rFonts w:hint="eastAsia" w:asciiTheme="minorEastAsia" w:hAnsiTheme="minorEastAsia" w:eastAsiaTheme="minorEastAsia" w:cstheme="minorEastAsia"/>
          <w:color w:val="auto"/>
          <w:spacing w:val="-39"/>
        </w:rPr>
        <w:t>.</w:t>
      </w:r>
      <w:r>
        <w:rPr>
          <w:rFonts w:hint="eastAsia" w:asciiTheme="minorEastAsia" w:hAnsiTheme="minorEastAsia" w:eastAsiaTheme="minorEastAsia" w:cstheme="minorEastAsia"/>
          <w:color w:val="auto"/>
          <w:spacing w:val="-3"/>
          <w:u w:val="single"/>
        </w:rPr>
        <w:t>（</w:t>
      </w:r>
      <w:r>
        <w:rPr>
          <w:rFonts w:hint="eastAsia" w:asciiTheme="minorEastAsia" w:hAnsiTheme="minorEastAsia" w:eastAsiaTheme="minorEastAsia" w:cstheme="minorEastAsia"/>
          <w:color w:val="auto"/>
          <w:u w:val="single"/>
        </w:rPr>
        <w:t>标的名称</w:t>
      </w:r>
      <w:r>
        <w:rPr>
          <w:rFonts w:hint="eastAsia" w:asciiTheme="minorEastAsia" w:hAnsiTheme="minorEastAsia" w:eastAsiaTheme="minorEastAsia" w:cstheme="minorEastAsia"/>
          <w:color w:val="auto"/>
          <w:spacing w:val="-39"/>
          <w:u w:val="single"/>
        </w:rPr>
        <w:t>）</w:t>
      </w:r>
      <w:r>
        <w:rPr>
          <w:rFonts w:hint="eastAsia" w:asciiTheme="minorEastAsia" w:hAnsiTheme="minorEastAsia" w:eastAsiaTheme="minorEastAsia" w:cstheme="minorEastAsia"/>
          <w:color w:val="auto"/>
          <w:spacing w:val="-41"/>
        </w:rPr>
        <w:t>，</w:t>
      </w:r>
      <w:r>
        <w:rPr>
          <w:rFonts w:hint="eastAsia" w:asciiTheme="minorEastAsia" w:hAnsiTheme="minorEastAsia" w:eastAsiaTheme="minorEastAsia" w:cstheme="minorEastAsia"/>
          <w:color w:val="auto"/>
        </w:rPr>
        <w:t>属</w:t>
      </w:r>
      <w:r>
        <w:rPr>
          <w:rFonts w:hint="eastAsia" w:asciiTheme="minorEastAsia" w:hAnsiTheme="minorEastAsia" w:eastAsiaTheme="minorEastAsia" w:cstheme="minorEastAsia"/>
          <w:color w:val="auto"/>
          <w:spacing w:val="-39"/>
        </w:rPr>
        <w:t>于</w:t>
      </w:r>
      <w:r>
        <w:rPr>
          <w:rFonts w:hint="eastAsia" w:asciiTheme="minorEastAsia" w:hAnsiTheme="minorEastAsia" w:eastAsiaTheme="minorEastAsia" w:cstheme="minorEastAsia"/>
          <w:color w:val="auto"/>
          <w:u w:val="single"/>
        </w:rPr>
        <w:t>（采购文件中明确的所属行业</w:t>
      </w:r>
      <w:r>
        <w:rPr>
          <w:rFonts w:hint="eastAsia" w:asciiTheme="minorEastAsia" w:hAnsiTheme="minorEastAsia" w:eastAsiaTheme="minorEastAsia" w:cstheme="minorEastAsia"/>
          <w:color w:val="auto"/>
          <w:spacing w:val="-41"/>
          <w:u w:val="single"/>
        </w:rPr>
        <w:t>）</w:t>
      </w:r>
      <w:r>
        <w:rPr>
          <w:rFonts w:hint="eastAsia" w:asciiTheme="minorEastAsia" w:hAnsiTheme="minorEastAsia" w:eastAsiaTheme="minorEastAsia" w:cstheme="minorEastAsia"/>
          <w:color w:val="auto"/>
        </w:rPr>
        <w:t>行业</w:t>
      </w:r>
      <w:r>
        <w:rPr>
          <w:rFonts w:hint="eastAsia" w:asciiTheme="minorEastAsia" w:hAnsiTheme="minorEastAsia" w:eastAsiaTheme="minorEastAsia" w:cstheme="minorEastAsia"/>
          <w:color w:val="auto"/>
          <w:spacing w:val="-39"/>
        </w:rPr>
        <w:t>；</w:t>
      </w:r>
      <w:r>
        <w:rPr>
          <w:rFonts w:hint="eastAsia" w:asciiTheme="minorEastAsia" w:hAnsiTheme="minorEastAsia" w:eastAsiaTheme="minorEastAsia" w:cstheme="minorEastAsia"/>
          <w:color w:val="auto"/>
        </w:rPr>
        <w:t>制造商</w:t>
      </w:r>
      <w:r>
        <w:rPr>
          <w:rFonts w:hint="eastAsia" w:asciiTheme="minorEastAsia" w:hAnsiTheme="minorEastAsia" w:eastAsiaTheme="minorEastAsia" w:cstheme="minorEastAsia"/>
          <w:color w:val="auto"/>
          <w:spacing w:val="-39"/>
        </w:rPr>
        <w:t>为</w:t>
      </w:r>
      <w:r>
        <w:rPr>
          <w:rFonts w:hint="eastAsia" w:asciiTheme="minorEastAsia" w:hAnsiTheme="minorEastAsia" w:eastAsiaTheme="minorEastAsia" w:cstheme="minorEastAsia"/>
          <w:color w:val="auto"/>
          <w:spacing w:val="-1"/>
          <w:u w:val="single"/>
        </w:rPr>
        <w:t>（</w:t>
      </w:r>
      <w:r>
        <w:rPr>
          <w:rFonts w:hint="eastAsia" w:asciiTheme="minorEastAsia" w:hAnsiTheme="minorEastAsia" w:eastAsiaTheme="minorEastAsia" w:cstheme="minorEastAsia"/>
          <w:color w:val="auto"/>
          <w:u w:val="single"/>
        </w:rPr>
        <w:t>企业名称</w:t>
      </w:r>
      <w:r>
        <w:rPr>
          <w:rFonts w:hint="eastAsia" w:asciiTheme="minorEastAsia" w:hAnsiTheme="minorEastAsia" w:eastAsiaTheme="minorEastAsia" w:cstheme="minorEastAsia"/>
          <w:color w:val="auto"/>
          <w:spacing w:val="-127"/>
          <w:u w:val="single"/>
        </w:rPr>
        <w:t>）</w:t>
      </w:r>
      <w:r>
        <w:rPr>
          <w:rFonts w:hint="eastAsia" w:asciiTheme="minorEastAsia" w:hAnsiTheme="minorEastAsia" w:eastAsiaTheme="minorEastAsia" w:cstheme="minorEastAsia"/>
          <w:color w:val="auto"/>
          <w:spacing w:val="-13"/>
        </w:rPr>
        <w:t>，</w:t>
      </w:r>
      <w:r>
        <w:rPr>
          <w:rFonts w:hint="eastAsia" w:asciiTheme="minorEastAsia" w:hAnsiTheme="minorEastAsia" w:eastAsiaTheme="minorEastAsia" w:cstheme="minorEastAsia"/>
          <w:color w:val="auto"/>
        </w:rPr>
        <w:t>从业人员</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人，营业收入为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万元，资产总额为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万元</w:t>
      </w:r>
      <w:r>
        <w:rPr>
          <w:rFonts w:hint="eastAsia" w:asciiTheme="minorEastAsia" w:hAnsiTheme="minorEastAsia" w:eastAsiaTheme="minorEastAsia" w:cstheme="minorEastAsia"/>
          <w:color w:val="auto"/>
          <w:spacing w:val="-60"/>
        </w:rPr>
        <w:t xml:space="preserve"> </w:t>
      </w:r>
      <w:r>
        <w:rPr>
          <w:rFonts w:hint="eastAsia" w:asciiTheme="minorEastAsia" w:hAnsiTheme="minorEastAsia" w:eastAsiaTheme="minorEastAsia" w:cstheme="minorEastAsia"/>
          <w:color w:val="auto"/>
        </w:rPr>
        <w:t>1， 属于</w:t>
      </w:r>
      <w:r>
        <w:rPr>
          <w:rFonts w:hint="eastAsia" w:asciiTheme="minorEastAsia" w:hAnsiTheme="minorEastAsia" w:eastAsiaTheme="minorEastAsia" w:cstheme="minorEastAsia"/>
          <w:color w:val="auto"/>
          <w:u w:val="single"/>
        </w:rPr>
        <w:t>（中型企业、小型企业、微型企业）</w:t>
      </w:r>
      <w:r>
        <w:rPr>
          <w:rFonts w:hint="eastAsia" w:asciiTheme="minorEastAsia" w:hAnsiTheme="minorEastAsia" w:eastAsiaTheme="minorEastAsia" w:cstheme="minorEastAsia"/>
          <w:color w:val="auto"/>
        </w:rPr>
        <w:t>；</w:t>
      </w:r>
    </w:p>
    <w:p w14:paraId="45F8520F">
      <w:pPr>
        <w:pStyle w:val="6"/>
        <w:tabs>
          <w:tab w:val="left" w:pos="2379"/>
          <w:tab w:val="left" w:pos="5228"/>
          <w:tab w:val="left" w:pos="8317"/>
        </w:tabs>
        <w:spacing w:before="2"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w:t>
      </w:r>
      <w:r>
        <w:rPr>
          <w:rFonts w:hint="eastAsia" w:asciiTheme="minorEastAsia" w:hAnsiTheme="minorEastAsia" w:eastAsiaTheme="minorEastAsia" w:cstheme="minorEastAsia"/>
          <w:color w:val="auto"/>
          <w:spacing w:val="-39"/>
        </w:rPr>
        <w:t>.</w:t>
      </w:r>
      <w:r>
        <w:rPr>
          <w:rFonts w:hint="eastAsia" w:asciiTheme="minorEastAsia" w:hAnsiTheme="minorEastAsia" w:eastAsiaTheme="minorEastAsia" w:cstheme="minorEastAsia"/>
          <w:color w:val="auto"/>
          <w:spacing w:val="-3"/>
          <w:u w:val="single"/>
        </w:rPr>
        <w:t>（</w:t>
      </w:r>
      <w:r>
        <w:rPr>
          <w:rFonts w:hint="eastAsia" w:asciiTheme="minorEastAsia" w:hAnsiTheme="minorEastAsia" w:eastAsiaTheme="minorEastAsia" w:cstheme="minorEastAsia"/>
          <w:color w:val="auto"/>
          <w:u w:val="single"/>
        </w:rPr>
        <w:t>标的名称</w:t>
      </w:r>
      <w:r>
        <w:rPr>
          <w:rFonts w:hint="eastAsia" w:asciiTheme="minorEastAsia" w:hAnsiTheme="minorEastAsia" w:eastAsiaTheme="minorEastAsia" w:cstheme="minorEastAsia"/>
          <w:color w:val="auto"/>
          <w:spacing w:val="-39"/>
          <w:u w:val="single"/>
        </w:rPr>
        <w:t>）</w:t>
      </w:r>
      <w:r>
        <w:rPr>
          <w:rFonts w:hint="eastAsia" w:asciiTheme="minorEastAsia" w:hAnsiTheme="minorEastAsia" w:eastAsiaTheme="minorEastAsia" w:cstheme="minorEastAsia"/>
          <w:color w:val="auto"/>
          <w:spacing w:val="-41"/>
        </w:rPr>
        <w:t>，</w:t>
      </w:r>
      <w:r>
        <w:rPr>
          <w:rFonts w:hint="eastAsia" w:asciiTheme="minorEastAsia" w:hAnsiTheme="minorEastAsia" w:eastAsiaTheme="minorEastAsia" w:cstheme="minorEastAsia"/>
          <w:color w:val="auto"/>
        </w:rPr>
        <w:t>属</w:t>
      </w:r>
      <w:r>
        <w:rPr>
          <w:rFonts w:hint="eastAsia" w:asciiTheme="minorEastAsia" w:hAnsiTheme="minorEastAsia" w:eastAsiaTheme="minorEastAsia" w:cstheme="minorEastAsia"/>
          <w:color w:val="auto"/>
          <w:spacing w:val="-39"/>
        </w:rPr>
        <w:t>于</w:t>
      </w:r>
      <w:r>
        <w:rPr>
          <w:rFonts w:hint="eastAsia" w:asciiTheme="minorEastAsia" w:hAnsiTheme="minorEastAsia" w:eastAsiaTheme="minorEastAsia" w:cstheme="minorEastAsia"/>
          <w:color w:val="auto"/>
          <w:u w:val="single"/>
        </w:rPr>
        <w:t>（采购文件中明确的所属行业</w:t>
      </w:r>
      <w:r>
        <w:rPr>
          <w:rFonts w:hint="eastAsia" w:asciiTheme="minorEastAsia" w:hAnsiTheme="minorEastAsia" w:eastAsiaTheme="minorEastAsia" w:cstheme="minorEastAsia"/>
          <w:color w:val="auto"/>
          <w:spacing w:val="-41"/>
          <w:u w:val="single"/>
        </w:rPr>
        <w:t>）</w:t>
      </w:r>
      <w:r>
        <w:rPr>
          <w:rFonts w:hint="eastAsia" w:asciiTheme="minorEastAsia" w:hAnsiTheme="minorEastAsia" w:eastAsiaTheme="minorEastAsia" w:cstheme="minorEastAsia"/>
          <w:color w:val="auto"/>
        </w:rPr>
        <w:t>行业</w:t>
      </w:r>
      <w:r>
        <w:rPr>
          <w:rFonts w:hint="eastAsia" w:asciiTheme="minorEastAsia" w:hAnsiTheme="minorEastAsia" w:eastAsiaTheme="minorEastAsia" w:cstheme="minorEastAsia"/>
          <w:color w:val="auto"/>
          <w:spacing w:val="-39"/>
        </w:rPr>
        <w:t>；</w:t>
      </w:r>
      <w:r>
        <w:rPr>
          <w:rFonts w:hint="eastAsia" w:asciiTheme="minorEastAsia" w:hAnsiTheme="minorEastAsia" w:eastAsiaTheme="minorEastAsia" w:cstheme="minorEastAsia"/>
          <w:color w:val="auto"/>
        </w:rPr>
        <w:t>制造商</w:t>
      </w:r>
      <w:r>
        <w:rPr>
          <w:rFonts w:hint="eastAsia" w:asciiTheme="minorEastAsia" w:hAnsiTheme="minorEastAsia" w:eastAsiaTheme="minorEastAsia" w:cstheme="minorEastAsia"/>
          <w:color w:val="auto"/>
          <w:spacing w:val="-39"/>
        </w:rPr>
        <w:t>为</w:t>
      </w:r>
      <w:r>
        <w:rPr>
          <w:rFonts w:hint="eastAsia" w:asciiTheme="minorEastAsia" w:hAnsiTheme="minorEastAsia" w:eastAsiaTheme="minorEastAsia" w:cstheme="minorEastAsia"/>
          <w:color w:val="auto"/>
          <w:spacing w:val="-1"/>
          <w:u w:val="single"/>
        </w:rPr>
        <w:t>（</w:t>
      </w:r>
      <w:r>
        <w:rPr>
          <w:rFonts w:hint="eastAsia" w:asciiTheme="minorEastAsia" w:hAnsiTheme="minorEastAsia" w:eastAsiaTheme="minorEastAsia" w:cstheme="minorEastAsia"/>
          <w:color w:val="auto"/>
          <w:u w:val="single"/>
        </w:rPr>
        <w:t>企业名称</w:t>
      </w:r>
      <w:r>
        <w:rPr>
          <w:rFonts w:hint="eastAsia" w:asciiTheme="minorEastAsia" w:hAnsiTheme="minorEastAsia" w:eastAsiaTheme="minorEastAsia" w:cstheme="minorEastAsia"/>
          <w:color w:val="auto"/>
          <w:spacing w:val="-127"/>
          <w:u w:val="single"/>
        </w:rPr>
        <w:t>）</w:t>
      </w:r>
      <w:r>
        <w:rPr>
          <w:rFonts w:hint="eastAsia" w:asciiTheme="minorEastAsia" w:hAnsiTheme="minorEastAsia" w:eastAsiaTheme="minorEastAsia" w:cstheme="minorEastAsia"/>
          <w:color w:val="auto"/>
          <w:spacing w:val="-13"/>
        </w:rPr>
        <w:t>，</w:t>
      </w:r>
      <w:r>
        <w:rPr>
          <w:rFonts w:hint="eastAsia" w:asciiTheme="minorEastAsia" w:hAnsiTheme="minorEastAsia" w:eastAsiaTheme="minorEastAsia" w:cstheme="minorEastAsia"/>
          <w:color w:val="auto"/>
        </w:rPr>
        <w:t>从业人员</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人</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rPr>
        <w:t>营业收入为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万元</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rPr>
        <w:t>资产总额为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万元</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rPr>
        <w:t>属于</w:t>
      </w:r>
      <w:r>
        <w:rPr>
          <w:rFonts w:hint="eastAsia" w:asciiTheme="minorEastAsia" w:hAnsiTheme="minorEastAsia" w:eastAsiaTheme="minorEastAsia" w:cstheme="minorEastAsia"/>
          <w:color w:val="auto"/>
          <w:u w:val="single"/>
        </w:rPr>
        <w:t>（中型企业、小型企业、微型企业）</w:t>
      </w:r>
      <w:r>
        <w:rPr>
          <w:rFonts w:hint="eastAsia" w:asciiTheme="minorEastAsia" w:hAnsiTheme="minorEastAsia" w:eastAsiaTheme="minorEastAsia" w:cstheme="minorEastAsia"/>
          <w:color w:val="auto"/>
        </w:rPr>
        <w:t>；</w:t>
      </w:r>
    </w:p>
    <w:p w14:paraId="19D3AE0C">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w:t>
      </w:r>
    </w:p>
    <w:p w14:paraId="69564336">
      <w:pPr>
        <w:pStyle w:val="6"/>
        <w:spacing w:before="16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0"/>
        </w:rPr>
        <w:t>以上企业，不属于大企业的分支机构，不存在控股股东为大企业的情形，也不存在</w:t>
      </w:r>
      <w:r>
        <w:rPr>
          <w:rFonts w:hint="eastAsia" w:asciiTheme="minorEastAsia" w:hAnsiTheme="minorEastAsia" w:eastAsiaTheme="minorEastAsia" w:cstheme="minorEastAsia"/>
          <w:color w:val="auto"/>
        </w:rPr>
        <w:t>与大企业的负责人为同一人的情形。</w:t>
      </w:r>
    </w:p>
    <w:p w14:paraId="39DB61C5">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本企业对上述声明内容的真实性负责。如有虚假，将依法承担相应责任。</w:t>
      </w:r>
    </w:p>
    <w:p w14:paraId="37227939">
      <w:pPr>
        <w:pStyle w:val="6"/>
        <w:tabs>
          <w:tab w:val="left" w:pos="7566"/>
          <w:tab w:val="left" w:pos="8286"/>
          <w:tab w:val="left" w:pos="9006"/>
        </w:tabs>
        <w:spacing w:before="161"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4E78D985">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23005DFD">
      <w:pPr>
        <w:pStyle w:val="6"/>
        <w:spacing w:before="160"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1、从业人员、营业收入、资产总额填报上一年度数据，无上一年度数据的新成立企业可不填报。</w:t>
      </w:r>
    </w:p>
    <w:p w14:paraId="2E85C53C">
      <w:pPr>
        <w:pStyle w:val="6"/>
        <w:spacing w:before="2"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w:t>
      </w:r>
      <w:r>
        <w:rPr>
          <w:rFonts w:hint="eastAsia" w:asciiTheme="minorEastAsia" w:hAnsiTheme="minorEastAsia" w:eastAsiaTheme="minorEastAsia" w:cstheme="minorEastAsia"/>
          <w:color w:val="auto"/>
          <w:spacing w:val="-1"/>
        </w:rPr>
        <w:t>、投标人须按招标文件中明确的所属行业填列，多品目项目中须按上表要求逐条</w:t>
      </w:r>
      <w:r>
        <w:rPr>
          <w:rFonts w:hint="eastAsia" w:asciiTheme="minorEastAsia" w:hAnsiTheme="minorEastAsia" w:eastAsiaTheme="minorEastAsia" w:cstheme="minorEastAsia"/>
          <w:color w:val="auto"/>
          <w:spacing w:val="-11"/>
        </w:rPr>
        <w:t>填列，否则，其提供的中小企业声明将被判定为无效声明函，由此造成的后果由投标人</w:t>
      </w:r>
      <w:r>
        <w:rPr>
          <w:rFonts w:hint="eastAsia" w:asciiTheme="minorEastAsia" w:hAnsiTheme="minorEastAsia" w:eastAsiaTheme="minorEastAsia" w:cstheme="minorEastAsia"/>
          <w:color w:val="auto"/>
        </w:rPr>
        <w:t>自行承担（涉及资格的按无效投标处理；涉及价格评审优惠的，不予认定）。</w:t>
      </w:r>
    </w:p>
    <w:p w14:paraId="2087564D">
      <w:pPr>
        <w:pStyle w:val="6"/>
        <w:spacing w:before="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w:t>
      </w:r>
      <w:r>
        <w:rPr>
          <w:rFonts w:hint="eastAsia" w:asciiTheme="minorEastAsia" w:hAnsiTheme="minorEastAsia" w:eastAsiaTheme="minorEastAsia" w:cstheme="minorEastAsia"/>
          <w:color w:val="auto"/>
          <w:spacing w:val="-1"/>
        </w:rPr>
        <w:t>、投标人应当对其出具的《中小企业声明函》真实性负责，投标人出具的《中小</w:t>
      </w:r>
      <w:r>
        <w:rPr>
          <w:rFonts w:hint="eastAsia" w:asciiTheme="minorEastAsia" w:hAnsiTheme="minorEastAsia" w:eastAsiaTheme="minorEastAsia" w:cstheme="minorEastAsia"/>
          <w:color w:val="auto"/>
          <w:spacing w:val="-9"/>
        </w:rPr>
        <w:t>企业声明函》内容不实的，属于提供虚假材料谋取中标。在实际操作中，项目属性为货</w:t>
      </w:r>
      <w:r>
        <w:rPr>
          <w:rFonts w:hint="eastAsia" w:asciiTheme="minorEastAsia" w:hAnsiTheme="minorEastAsia" w:eastAsiaTheme="minorEastAsia" w:cstheme="minorEastAsia"/>
          <w:color w:val="auto"/>
          <w:spacing w:val="-5"/>
        </w:rPr>
        <w:t>物且投标人希望获得中小企业政策支持的，应从制造商处获得充分、准确的信息。对相</w:t>
      </w:r>
    </w:p>
    <w:p w14:paraId="4D2B2110">
      <w:pPr>
        <w:spacing w:after="0" w:line="364" w:lineRule="auto"/>
        <w:jc w:val="both"/>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031749AC">
      <w:pPr>
        <w:pStyle w:val="6"/>
        <w:spacing w:before="42" w:line="364" w:lineRule="auto"/>
        <w:ind w:right="577"/>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关制造商信息了解不充分，或者不能确定相关信息真实、准确的，不建议出具《中小企</w:t>
      </w:r>
      <w:r>
        <w:rPr>
          <w:rFonts w:hint="eastAsia" w:asciiTheme="minorEastAsia" w:hAnsiTheme="minorEastAsia" w:eastAsiaTheme="minorEastAsia" w:cstheme="minorEastAsia"/>
          <w:color w:val="auto"/>
        </w:rPr>
        <w:t>业声明函》。</w:t>
      </w:r>
    </w:p>
    <w:p w14:paraId="2950AB57">
      <w:pPr>
        <w:pStyle w:val="4"/>
        <w:spacing w:before="162"/>
        <w:ind w:left="1343" w:right="746"/>
        <w:jc w:val="center"/>
        <w:rPr>
          <w:rFonts w:hint="eastAsia" w:asciiTheme="minorEastAsia" w:hAnsiTheme="minorEastAsia" w:eastAsiaTheme="minorEastAsia" w:cstheme="minorEastAsia"/>
          <w:color w:val="auto"/>
        </w:rPr>
      </w:pPr>
      <w:bookmarkStart w:id="67" w:name="残疾人福利性单位声明函"/>
      <w:bookmarkEnd w:id="67"/>
      <w:r>
        <w:rPr>
          <w:rFonts w:hint="eastAsia" w:asciiTheme="minorEastAsia" w:hAnsiTheme="minorEastAsia" w:eastAsiaTheme="minorEastAsia" w:cstheme="minorEastAsia"/>
          <w:color w:val="auto"/>
        </w:rPr>
        <w:t>残疾人福利性单位声明函</w:t>
      </w:r>
    </w:p>
    <w:p w14:paraId="2C2B4D1B">
      <w:pPr>
        <w:spacing w:before="160"/>
        <w:ind w:left="2442" w:right="0" w:firstLine="0"/>
        <w:jc w:val="left"/>
        <w:rPr>
          <w:rFonts w:hint="eastAsia" w:asciiTheme="minorEastAsia" w:hAnsiTheme="minorEastAsia" w:eastAsiaTheme="minorEastAsia" w:cstheme="minorEastAsia"/>
          <w:b/>
          <w:color w:val="auto"/>
          <w:sz w:val="24"/>
        </w:rPr>
      </w:pPr>
      <w:bookmarkStart w:id="68" w:name="（以资格条件落实中小企业扶持政策时适用，若有）"/>
      <w:bookmarkEnd w:id="68"/>
      <w:r>
        <w:rPr>
          <w:rFonts w:hint="eastAsia" w:asciiTheme="minorEastAsia" w:hAnsiTheme="minorEastAsia" w:eastAsiaTheme="minorEastAsia" w:cstheme="minorEastAsia"/>
          <w:b/>
          <w:color w:val="auto"/>
          <w:sz w:val="24"/>
        </w:rPr>
        <w:t>（以资格条件落实中小企业扶持政策时适用，若有）</w:t>
      </w:r>
    </w:p>
    <w:p w14:paraId="7C51EFB4">
      <w:pPr>
        <w:pStyle w:val="6"/>
        <w:spacing w:before="161"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0"/>
        </w:rPr>
        <w:t>本投标人郑重声明，根据《财政部 民政部 中国残疾人联合会关于促进残疾人就业</w:t>
      </w:r>
      <w:r>
        <w:rPr>
          <w:rFonts w:hint="eastAsia" w:asciiTheme="minorEastAsia" w:hAnsiTheme="minorEastAsia" w:eastAsiaTheme="minorEastAsia" w:cstheme="minorEastAsia"/>
          <w:color w:val="auto"/>
          <w:spacing w:val="-12"/>
        </w:rPr>
        <w:t>政府采购政策的通知》</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rPr>
        <w:t>财库[2017]141 号</w:t>
      </w:r>
      <w:r>
        <w:rPr>
          <w:rFonts w:hint="eastAsia" w:asciiTheme="minorEastAsia" w:hAnsiTheme="minorEastAsia" w:eastAsiaTheme="minorEastAsia" w:cstheme="minorEastAsia"/>
          <w:color w:val="auto"/>
          <w:spacing w:val="-15"/>
        </w:rPr>
        <w:t>）</w:t>
      </w:r>
      <w:r>
        <w:rPr>
          <w:rFonts w:hint="eastAsia" w:asciiTheme="minorEastAsia" w:hAnsiTheme="minorEastAsia" w:eastAsiaTheme="minorEastAsia" w:cstheme="minorEastAsia"/>
          <w:color w:val="auto"/>
          <w:spacing w:val="-6"/>
        </w:rPr>
        <w:t>、《政府采购促进中小企业发展管理办法》</w:t>
      </w:r>
    </w:p>
    <w:p w14:paraId="2E70910B">
      <w:pPr>
        <w:pStyle w:val="6"/>
        <w:spacing w:before="1" w:line="364" w:lineRule="auto"/>
        <w:ind w:right="5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（财库〔2020〕46 号）的规定，本投标人为符合条件的残疾人福利性单位，且本投标人参加贵单位的（填写“项目名称”）项目采购活动：</w:t>
      </w:r>
    </w:p>
    <w:p w14:paraId="7A46CE8F">
      <w:pPr>
        <w:pStyle w:val="6"/>
        <w:spacing w:before="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）提供本投标人制造的（填写“所投采购包、品目号”）</w:t>
      </w:r>
      <w:r>
        <w:rPr>
          <w:rFonts w:hint="eastAsia" w:asciiTheme="minorEastAsia" w:hAnsiTheme="minorEastAsia" w:eastAsiaTheme="minorEastAsia" w:cstheme="minorEastAsia"/>
          <w:color w:val="auto"/>
          <w:spacing w:val="-2"/>
        </w:rPr>
        <w:t>货物，或提供其他残疾人福利性单位制造的</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spacing w:val="-7"/>
        </w:rPr>
        <w:t>填写“所投采购包、品目号”</w:t>
      </w:r>
      <w:r>
        <w:rPr>
          <w:rFonts w:hint="eastAsia" w:asciiTheme="minorEastAsia" w:hAnsiTheme="minorEastAsia" w:eastAsiaTheme="minorEastAsia" w:cstheme="minorEastAsia"/>
          <w:color w:val="auto"/>
          <w:spacing w:val="-16"/>
        </w:rPr>
        <w:t>）</w:t>
      </w:r>
      <w:r>
        <w:rPr>
          <w:rFonts w:hint="eastAsia" w:asciiTheme="minorEastAsia" w:hAnsiTheme="minorEastAsia" w:eastAsiaTheme="minorEastAsia" w:cstheme="minorEastAsia"/>
          <w:color w:val="auto"/>
          <w:spacing w:val="-8"/>
        </w:rPr>
        <w:t>货物</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2"/>
        </w:rPr>
        <w:t>不包括使用非残疾人福</w:t>
      </w:r>
      <w:r>
        <w:rPr>
          <w:rFonts w:hint="eastAsia" w:asciiTheme="minorEastAsia" w:hAnsiTheme="minorEastAsia" w:eastAsiaTheme="minorEastAsia" w:cstheme="minorEastAsia"/>
          <w:color w:val="auto"/>
        </w:rPr>
        <w:t>利性单位注册商标的货物</w:t>
      </w:r>
      <w:r>
        <w:rPr>
          <w:rFonts w:hint="eastAsia" w:asciiTheme="minorEastAsia" w:hAnsiTheme="minorEastAsia" w:eastAsiaTheme="minorEastAsia" w:cstheme="minorEastAsia"/>
          <w:color w:val="auto"/>
          <w:spacing w:val="-20"/>
        </w:rPr>
        <w:t>）</w:t>
      </w:r>
      <w:r>
        <w:rPr>
          <w:rFonts w:hint="eastAsia" w:asciiTheme="minorEastAsia" w:hAnsiTheme="minorEastAsia" w:eastAsiaTheme="minorEastAsia" w:cstheme="minorEastAsia"/>
          <w:color w:val="auto"/>
          <w:spacing w:val="-36"/>
        </w:rPr>
        <w:t>。</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spacing w:val="-7"/>
        </w:rPr>
        <w:t>说明：只有部分货物由残疾人福利企业制造的，在该货</w:t>
      </w:r>
      <w:r>
        <w:rPr>
          <w:rFonts w:hint="eastAsia" w:asciiTheme="minorEastAsia" w:hAnsiTheme="minorEastAsia" w:eastAsiaTheme="minorEastAsia" w:cstheme="minorEastAsia"/>
          <w:color w:val="auto"/>
        </w:rPr>
        <w:t>物后标※）</w:t>
      </w:r>
    </w:p>
    <w:p w14:paraId="6816BB22">
      <w:pPr>
        <w:pStyle w:val="6"/>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）由本投标人承建的（填写“所投采购包、品目号”）工程</w:t>
      </w:r>
    </w:p>
    <w:p w14:paraId="29010085">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）由本投标人承接的（填写“所投采购包、品目号”）服务；</w:t>
      </w:r>
    </w:p>
    <w:p w14:paraId="013183B6">
      <w:pPr>
        <w:pStyle w:val="6"/>
        <w:spacing w:before="160" w:line="364" w:lineRule="auto"/>
        <w:ind w:left="700" w:right="168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本投标人对上述声明的真实性负责。如有虚假，将依法承担相应责任。备注：</w:t>
      </w:r>
    </w:p>
    <w:p w14:paraId="736B8368">
      <w:pPr>
        <w:pStyle w:val="6"/>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1、请投标人按照实际情况编制填写本声明函，并在相应的（）中打“√”。</w:t>
      </w:r>
    </w:p>
    <w:p w14:paraId="42090808">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2、若《残疾人福利性单位声明函》内容不真实，视为提供虚假材料。</w:t>
      </w:r>
    </w:p>
    <w:p w14:paraId="12A9B0A8">
      <w:pPr>
        <w:pStyle w:val="6"/>
        <w:tabs>
          <w:tab w:val="left" w:pos="7566"/>
          <w:tab w:val="left" w:pos="8286"/>
          <w:tab w:val="left" w:pos="9006"/>
        </w:tabs>
        <w:spacing w:before="161"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783179F4">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附：</w:t>
      </w:r>
    </w:p>
    <w:p w14:paraId="7E38AF69">
      <w:pPr>
        <w:pStyle w:val="4"/>
        <w:spacing w:before="160"/>
        <w:ind w:left="1343" w:right="743"/>
        <w:jc w:val="center"/>
        <w:rPr>
          <w:rFonts w:hint="eastAsia" w:asciiTheme="minorEastAsia" w:hAnsiTheme="minorEastAsia" w:eastAsiaTheme="minorEastAsia" w:cstheme="minorEastAsia"/>
          <w:color w:val="auto"/>
        </w:rPr>
      </w:pPr>
      <w:bookmarkStart w:id="69" w:name="监狱企业证明材料"/>
      <w:bookmarkEnd w:id="69"/>
      <w:r>
        <w:rPr>
          <w:rFonts w:hint="eastAsia" w:asciiTheme="minorEastAsia" w:hAnsiTheme="minorEastAsia" w:eastAsiaTheme="minorEastAsia" w:cstheme="minorEastAsia"/>
          <w:color w:val="auto"/>
        </w:rPr>
        <w:t>监狱企业证明材料</w:t>
      </w:r>
    </w:p>
    <w:p w14:paraId="2FA2E570">
      <w:pPr>
        <w:pStyle w:val="6"/>
        <w:spacing w:before="16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5"/>
        </w:rPr>
        <w:t>投标人为监狱企业，提供本单位制造的货物</w:t>
      </w:r>
      <w:r>
        <w:rPr>
          <w:rFonts w:hint="eastAsia" w:asciiTheme="minorEastAsia" w:hAnsiTheme="minorEastAsia" w:eastAsiaTheme="minorEastAsia" w:cstheme="minorEastAsia"/>
          <w:color w:val="auto"/>
        </w:rPr>
        <w:t>（承接的服务</w:t>
      </w:r>
      <w:r>
        <w:rPr>
          <w:rFonts w:hint="eastAsia" w:asciiTheme="minorEastAsia" w:hAnsiTheme="minorEastAsia" w:eastAsiaTheme="minorEastAsia" w:cstheme="minorEastAsia"/>
          <w:color w:val="auto"/>
          <w:spacing w:val="-23"/>
        </w:rPr>
        <w:t>）</w:t>
      </w:r>
      <w:r>
        <w:rPr>
          <w:rFonts w:hint="eastAsia" w:asciiTheme="minorEastAsia" w:hAnsiTheme="minorEastAsia" w:eastAsiaTheme="minorEastAsia" w:cstheme="minorEastAsia"/>
          <w:color w:val="auto"/>
          <w:spacing w:val="-7"/>
        </w:rPr>
        <w:t>，并在投标文件中提供</w:t>
      </w:r>
      <w:r>
        <w:rPr>
          <w:rFonts w:hint="eastAsia" w:asciiTheme="minorEastAsia" w:hAnsiTheme="minorEastAsia" w:eastAsiaTheme="minorEastAsia" w:cstheme="minorEastAsia"/>
          <w:color w:val="auto"/>
          <w:spacing w:val="-6"/>
        </w:rPr>
        <w:t>省级以上监狱管理局、戒毒管理局</w:t>
      </w:r>
      <w:r>
        <w:rPr>
          <w:rFonts w:hint="eastAsia" w:asciiTheme="minorEastAsia" w:hAnsiTheme="minorEastAsia" w:eastAsiaTheme="minorEastAsia" w:cstheme="minorEastAsia"/>
          <w:color w:val="auto"/>
        </w:rPr>
        <w:t>（含新疆生产建设兵团</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spacing w:val="-2"/>
        </w:rPr>
        <w:t>出具的属于监狱企业的证明</w:t>
      </w:r>
      <w:r>
        <w:rPr>
          <w:rFonts w:hint="eastAsia" w:asciiTheme="minorEastAsia" w:hAnsiTheme="minorEastAsia" w:eastAsiaTheme="minorEastAsia" w:cstheme="minorEastAsia"/>
          <w:color w:val="auto"/>
        </w:rPr>
        <w:t>文件。</w:t>
      </w:r>
    </w:p>
    <w:p w14:paraId="24C9739A">
      <w:pPr>
        <w:spacing w:after="0" w:line="364" w:lineRule="auto"/>
        <w:jc w:val="both"/>
        <w:rPr>
          <w:rFonts w:hint="eastAsia" w:asciiTheme="minorEastAsia" w:hAnsiTheme="minorEastAsia" w:eastAsiaTheme="minorEastAsia" w:cstheme="minorEastAsia"/>
          <w:color w:val="auto"/>
        </w:rPr>
        <w:sectPr>
          <w:footerReference r:id="rId12" w:type="default"/>
          <w:pgSz w:w="11910" w:h="16840"/>
          <w:pgMar w:top="1460" w:right="860" w:bottom="1160" w:left="1220" w:header="0" w:footer="970" w:gutter="0"/>
          <w:pgNumType w:fmt="decimal"/>
          <w:cols w:space="720" w:num="1"/>
        </w:sectPr>
      </w:pPr>
    </w:p>
    <w:p w14:paraId="5E1C8215">
      <w:pPr>
        <w:tabs>
          <w:tab w:val="left" w:pos="9680"/>
          <w:tab w:val="left" w:pos="9900"/>
        </w:tabs>
        <w:spacing w:before="42" w:line="364" w:lineRule="auto"/>
        <w:ind w:right="150" w:rightChars="0"/>
        <w:jc w:val="center"/>
        <w:rPr>
          <w:rFonts w:hint="eastAsia" w:asciiTheme="minorEastAsia" w:hAnsiTheme="minorEastAsia" w:eastAsiaTheme="minorEastAsia" w:cstheme="minorEastAsia"/>
          <w:b/>
          <w:color w:val="auto"/>
          <w:sz w:val="24"/>
        </w:rPr>
      </w:pPr>
      <w:bookmarkStart w:id="70" w:name="二-10联合体协议（若有）"/>
      <w:bookmarkEnd w:id="70"/>
      <w:r>
        <w:rPr>
          <w:rFonts w:hint="eastAsia" w:asciiTheme="minorEastAsia" w:hAnsiTheme="minorEastAsia" w:eastAsiaTheme="minorEastAsia" w:cstheme="minorEastAsia"/>
          <w:b/>
          <w:color w:val="auto"/>
          <w:sz w:val="24"/>
        </w:rPr>
        <w:t>二-10 联合体协议（若有）</w:t>
      </w:r>
    </w:p>
    <w:p w14:paraId="493C1CA6">
      <w:pPr>
        <w:spacing w:before="42" w:line="364" w:lineRule="auto"/>
        <w:ind w:right="322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致：</w:t>
      </w:r>
      <w:r>
        <w:rPr>
          <w:rFonts w:hint="eastAsia" w:asciiTheme="minorEastAsia" w:hAnsiTheme="minorEastAsia" w:eastAsiaTheme="minorEastAsia" w:cstheme="minorEastAsia"/>
          <w:color w:val="auto"/>
          <w:sz w:val="24"/>
          <w:u w:val="single"/>
        </w:rPr>
        <w:t>（采购人或采购代理机构）</w:t>
      </w:r>
    </w:p>
    <w:p w14:paraId="39BE97A9">
      <w:pPr>
        <w:pStyle w:val="6"/>
        <w:tabs>
          <w:tab w:val="left" w:pos="7825"/>
        </w:tabs>
        <w:spacing w:before="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兹</w:t>
      </w:r>
      <w:r>
        <w:rPr>
          <w:rFonts w:hint="eastAsia" w:asciiTheme="minorEastAsia" w:hAnsiTheme="minorEastAsia" w:eastAsiaTheme="minorEastAsia" w:cstheme="minorEastAsia"/>
          <w:color w:val="auto"/>
          <w:spacing w:val="-12"/>
        </w:rPr>
        <w:t>有</w:t>
      </w:r>
      <w:r>
        <w:rPr>
          <w:rFonts w:hint="eastAsia" w:asciiTheme="minorEastAsia" w:hAnsiTheme="minorEastAsia" w:eastAsiaTheme="minorEastAsia" w:cstheme="minorEastAsia"/>
          <w:color w:val="auto"/>
          <w:u w:val="single"/>
        </w:rPr>
        <w:t>（填</w:t>
      </w:r>
      <w:r>
        <w:rPr>
          <w:rFonts w:hint="eastAsia" w:asciiTheme="minorEastAsia" w:hAnsiTheme="minorEastAsia" w:eastAsiaTheme="minorEastAsia" w:cstheme="minorEastAsia"/>
          <w:color w:val="auto"/>
          <w:spacing w:val="-12"/>
          <w:u w:val="single"/>
        </w:rPr>
        <w:t>写</w:t>
      </w:r>
      <w:r>
        <w:rPr>
          <w:rFonts w:hint="eastAsia" w:asciiTheme="minorEastAsia" w:hAnsiTheme="minorEastAsia" w:eastAsiaTheme="minorEastAsia" w:cstheme="minorEastAsia"/>
          <w:color w:val="auto"/>
          <w:u w:val="single"/>
        </w:rPr>
        <w:t>“联合体中各方的全称</w:t>
      </w:r>
      <w:r>
        <w:rPr>
          <w:rFonts w:hint="eastAsia" w:asciiTheme="minorEastAsia" w:hAnsiTheme="minorEastAsia" w:eastAsiaTheme="minorEastAsia" w:cstheme="minorEastAsia"/>
          <w:color w:val="auto"/>
          <w:spacing w:val="-12"/>
          <w:u w:val="single"/>
        </w:rPr>
        <w:t>”，</w:t>
      </w:r>
      <w:r>
        <w:rPr>
          <w:rFonts w:hint="eastAsia" w:asciiTheme="minorEastAsia" w:hAnsiTheme="minorEastAsia" w:eastAsiaTheme="minorEastAsia" w:cstheme="minorEastAsia"/>
          <w:color w:val="auto"/>
          <w:u w:val="single"/>
        </w:rPr>
        <w:t>各方的全称之间请</w:t>
      </w:r>
      <w:r>
        <w:rPr>
          <w:rFonts w:hint="eastAsia" w:asciiTheme="minorEastAsia" w:hAnsiTheme="minorEastAsia" w:eastAsiaTheme="minorEastAsia" w:cstheme="minorEastAsia"/>
          <w:color w:val="auto"/>
          <w:spacing w:val="-10"/>
          <w:u w:val="single"/>
        </w:rPr>
        <w:t>用</w:t>
      </w:r>
      <w:r>
        <w:rPr>
          <w:rFonts w:hint="eastAsia" w:asciiTheme="minorEastAsia" w:hAnsiTheme="minorEastAsia" w:eastAsiaTheme="minorEastAsia" w:cstheme="minorEastAsia"/>
          <w:color w:val="auto"/>
          <w:spacing w:val="-3"/>
          <w:u w:val="single"/>
        </w:rPr>
        <w:t>“</w:t>
      </w:r>
      <w:r>
        <w:rPr>
          <w:rFonts w:hint="eastAsia" w:asciiTheme="minorEastAsia" w:hAnsiTheme="minorEastAsia" w:eastAsiaTheme="minorEastAsia" w:cstheme="minorEastAsia"/>
          <w:color w:val="auto"/>
          <w:spacing w:val="-12"/>
          <w:u w:val="single"/>
        </w:rPr>
        <w:t>、”</w:t>
      </w:r>
      <w:r>
        <w:rPr>
          <w:rFonts w:hint="eastAsia" w:asciiTheme="minorEastAsia" w:hAnsiTheme="minorEastAsia" w:eastAsiaTheme="minorEastAsia" w:cstheme="minorEastAsia"/>
          <w:color w:val="auto"/>
          <w:u w:val="single"/>
        </w:rPr>
        <w:t>分割</w:t>
      </w:r>
      <w:r>
        <w:rPr>
          <w:rFonts w:hint="eastAsia" w:asciiTheme="minorEastAsia" w:hAnsiTheme="minorEastAsia" w:eastAsiaTheme="minorEastAsia" w:cstheme="minorEastAsia"/>
          <w:color w:val="auto"/>
          <w:spacing w:val="-10"/>
          <w:u w:val="single"/>
        </w:rPr>
        <w:t>）</w:t>
      </w:r>
      <w:r>
        <w:rPr>
          <w:rFonts w:hint="eastAsia" w:asciiTheme="minorEastAsia" w:hAnsiTheme="minorEastAsia" w:eastAsiaTheme="minorEastAsia" w:cstheme="minorEastAsia"/>
          <w:color w:val="auto"/>
        </w:rPr>
        <w:t>自愿组</w:t>
      </w:r>
      <w:r>
        <w:rPr>
          <w:rFonts w:hint="eastAsia" w:asciiTheme="minorEastAsia" w:hAnsiTheme="minorEastAsia" w:eastAsiaTheme="minorEastAsia" w:cstheme="minorEastAsia"/>
          <w:color w:val="auto"/>
          <w:spacing w:val="-16"/>
        </w:rPr>
        <w:t>成</w:t>
      </w:r>
      <w:r>
        <w:rPr>
          <w:rFonts w:hint="eastAsia" w:asciiTheme="minorEastAsia" w:hAnsiTheme="minorEastAsia" w:eastAsiaTheme="minorEastAsia" w:cstheme="minorEastAsia"/>
          <w:color w:val="auto"/>
        </w:rPr>
        <w:t>联合体</w:t>
      </w:r>
      <w:r>
        <w:rPr>
          <w:rFonts w:hint="eastAsia" w:asciiTheme="minorEastAsia" w:hAnsiTheme="minorEastAsia" w:eastAsiaTheme="minorEastAsia" w:cstheme="minorEastAsia"/>
          <w:color w:val="auto"/>
          <w:spacing w:val="-12"/>
        </w:rPr>
        <w:t>，</w:t>
      </w:r>
      <w:r>
        <w:rPr>
          <w:rFonts w:hint="eastAsia" w:asciiTheme="minorEastAsia" w:hAnsiTheme="minorEastAsia" w:eastAsiaTheme="minorEastAsia" w:cstheme="minorEastAsia"/>
          <w:color w:val="auto"/>
        </w:rPr>
        <w:t>共同参</w:t>
      </w:r>
      <w:r>
        <w:rPr>
          <w:rFonts w:hint="eastAsia" w:asciiTheme="minorEastAsia" w:hAnsiTheme="minorEastAsia" w:eastAsiaTheme="minorEastAsia" w:cstheme="minorEastAsia"/>
          <w:color w:val="auto"/>
          <w:spacing w:val="-10"/>
        </w:rPr>
        <w:t>加</w:t>
      </w:r>
      <w:r>
        <w:rPr>
          <w:rFonts w:hint="eastAsia" w:asciiTheme="minorEastAsia" w:hAnsiTheme="minorEastAsia" w:eastAsiaTheme="minorEastAsia" w:cstheme="minorEastAsia"/>
          <w:color w:val="auto"/>
          <w:u w:val="single"/>
        </w:rPr>
        <w:t>（填</w:t>
      </w:r>
      <w:r>
        <w:rPr>
          <w:rFonts w:hint="eastAsia" w:asciiTheme="minorEastAsia" w:hAnsiTheme="minorEastAsia" w:eastAsiaTheme="minorEastAsia" w:cstheme="minorEastAsia"/>
          <w:color w:val="auto"/>
          <w:spacing w:val="-10"/>
          <w:u w:val="single"/>
        </w:rPr>
        <w:t>写</w:t>
      </w:r>
      <w:r>
        <w:rPr>
          <w:rFonts w:hint="eastAsia" w:asciiTheme="minorEastAsia" w:hAnsiTheme="minorEastAsia" w:eastAsiaTheme="minorEastAsia" w:cstheme="minorEastAsia"/>
          <w:color w:val="auto"/>
          <w:u w:val="single"/>
        </w:rPr>
        <w:t>“项目名称</w:t>
      </w:r>
      <w:r>
        <w:rPr>
          <w:rFonts w:hint="eastAsia" w:asciiTheme="minorEastAsia" w:hAnsiTheme="minorEastAsia" w:eastAsiaTheme="minorEastAsia" w:cstheme="minorEastAsia"/>
          <w:color w:val="auto"/>
          <w:spacing w:val="-11"/>
          <w:u w:val="single"/>
        </w:rPr>
        <w:t>”）</w:t>
      </w:r>
      <w:r>
        <w:rPr>
          <w:rFonts w:hint="eastAsia" w:asciiTheme="minorEastAsia" w:hAnsiTheme="minorEastAsia" w:eastAsiaTheme="minorEastAsia" w:cstheme="minorEastAsia"/>
          <w:color w:val="auto"/>
        </w:rPr>
        <w:t>项</w:t>
      </w:r>
      <w:r>
        <w:rPr>
          <w:rFonts w:hint="eastAsia" w:asciiTheme="minorEastAsia" w:hAnsiTheme="minorEastAsia" w:eastAsiaTheme="minorEastAsia" w:cstheme="minorEastAsia"/>
          <w:color w:val="auto"/>
          <w:spacing w:val="-10"/>
        </w:rPr>
        <w:t>目</w:t>
      </w:r>
      <w:r>
        <w:rPr>
          <w:rFonts w:hint="eastAsia" w:asciiTheme="minorEastAsia" w:hAnsiTheme="minorEastAsia" w:eastAsiaTheme="minorEastAsia" w:cstheme="minorEastAsia"/>
          <w:color w:val="auto"/>
        </w:rPr>
        <w:t>（项目编号</w:t>
      </w:r>
      <w:r>
        <w:rPr>
          <w:rFonts w:hint="eastAsia" w:asciiTheme="minorEastAsia" w:hAnsiTheme="minorEastAsia" w:eastAsiaTheme="minorEastAsia" w:cstheme="minorEastAsia"/>
          <w:color w:val="auto"/>
          <w:spacing w:val="-13"/>
        </w:rPr>
        <w:t>：</w:t>
      </w:r>
      <w:r>
        <w:rPr>
          <w:rFonts w:hint="eastAsia" w:asciiTheme="minorEastAsia" w:hAnsiTheme="minorEastAsia" w:eastAsiaTheme="minorEastAsia" w:cstheme="minorEastAsia"/>
          <w:color w:val="auto"/>
          <w:spacing w:val="-13"/>
          <w:u w:val="single"/>
        </w:rPr>
        <w:t xml:space="preserve"> </w:t>
      </w:r>
      <w:r>
        <w:rPr>
          <w:rFonts w:hint="eastAsia" w:asciiTheme="minorEastAsia" w:hAnsiTheme="minorEastAsia" w:eastAsiaTheme="minorEastAsia" w:cstheme="minorEastAsia"/>
          <w:color w:val="auto"/>
          <w:spacing w:val="-13"/>
          <w:u w:val="single"/>
        </w:rPr>
        <w:tab/>
      </w:r>
      <w:r>
        <w:rPr>
          <w:rFonts w:hint="eastAsia" w:asciiTheme="minorEastAsia" w:hAnsiTheme="minorEastAsia" w:eastAsiaTheme="minorEastAsia" w:cstheme="minorEastAsia"/>
          <w:color w:val="auto"/>
          <w:spacing w:val="-10"/>
        </w:rPr>
        <w:t>）</w:t>
      </w:r>
      <w:r>
        <w:rPr>
          <w:rFonts w:hint="eastAsia" w:asciiTheme="minorEastAsia" w:hAnsiTheme="minorEastAsia" w:eastAsiaTheme="minorEastAsia" w:cstheme="minorEastAsia"/>
          <w:color w:val="auto"/>
        </w:rPr>
        <w:t>的投标</w:t>
      </w:r>
      <w:r>
        <w:rPr>
          <w:rFonts w:hint="eastAsia" w:asciiTheme="minorEastAsia" w:hAnsiTheme="minorEastAsia" w:eastAsiaTheme="minorEastAsia" w:cstheme="minorEastAsia"/>
          <w:color w:val="auto"/>
          <w:spacing w:val="-10"/>
        </w:rPr>
        <w:t>。</w:t>
      </w:r>
      <w:r>
        <w:rPr>
          <w:rFonts w:hint="eastAsia" w:asciiTheme="minorEastAsia" w:hAnsiTheme="minorEastAsia" w:eastAsiaTheme="minorEastAsia" w:cstheme="minorEastAsia"/>
          <w:color w:val="auto"/>
          <w:spacing w:val="-16"/>
        </w:rPr>
        <w:t>现</w:t>
      </w:r>
      <w:r>
        <w:rPr>
          <w:rFonts w:hint="eastAsia" w:asciiTheme="minorEastAsia" w:hAnsiTheme="minorEastAsia" w:eastAsiaTheme="minorEastAsia" w:cstheme="minorEastAsia"/>
          <w:color w:val="auto"/>
        </w:rPr>
        <w:t>就联合体参加本项目投标的有关事宜达成下列协议：</w:t>
      </w:r>
    </w:p>
    <w:p w14:paraId="24CAB9A6">
      <w:pPr>
        <w:pStyle w:val="6"/>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一、联合体各方应承担的工作和义务具体如下：</w:t>
      </w:r>
    </w:p>
    <w:p w14:paraId="15ADC5DB">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1、牵头方（全称）：</w:t>
      </w:r>
      <w:r>
        <w:rPr>
          <w:rFonts w:hint="eastAsia" w:asciiTheme="minorEastAsia" w:hAnsiTheme="minorEastAsia" w:eastAsiaTheme="minorEastAsia" w:cstheme="minorEastAsia"/>
          <w:color w:val="auto"/>
          <w:u w:val="single"/>
        </w:rPr>
        <w:t>（填写“工作及义务的具体内容”）</w:t>
      </w:r>
      <w:r>
        <w:rPr>
          <w:rFonts w:hint="eastAsia" w:asciiTheme="minorEastAsia" w:hAnsiTheme="minorEastAsia" w:eastAsiaTheme="minorEastAsia" w:cstheme="minorEastAsia"/>
          <w:color w:val="auto"/>
        </w:rPr>
        <w:t>；</w:t>
      </w:r>
    </w:p>
    <w:p w14:paraId="0E9F5264">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2、成员方：</w:t>
      </w:r>
    </w:p>
    <w:p w14:paraId="67813F4E">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2.1（成员一的全称）：</w:t>
      </w:r>
      <w:r>
        <w:rPr>
          <w:rFonts w:hint="eastAsia" w:asciiTheme="minorEastAsia" w:hAnsiTheme="minorEastAsia" w:eastAsiaTheme="minorEastAsia" w:cstheme="minorEastAsia"/>
          <w:color w:val="auto"/>
          <w:u w:val="single"/>
        </w:rPr>
        <w:t>（填写“工作及义务的具体内容”）</w:t>
      </w:r>
      <w:r>
        <w:rPr>
          <w:rFonts w:hint="eastAsia" w:asciiTheme="minorEastAsia" w:hAnsiTheme="minorEastAsia" w:eastAsiaTheme="minorEastAsia" w:cstheme="minorEastAsia"/>
          <w:color w:val="auto"/>
        </w:rPr>
        <w:t>；</w:t>
      </w:r>
    </w:p>
    <w:p w14:paraId="253E15B2">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w:t>
      </w:r>
    </w:p>
    <w:p w14:paraId="2F2A686B">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二、联合体各方的合同金额占比，具体如下：</w:t>
      </w:r>
    </w:p>
    <w:p w14:paraId="3E94ED6A">
      <w:pPr>
        <w:pStyle w:val="24"/>
        <w:numPr>
          <w:ilvl w:val="0"/>
          <w:numId w:val="75"/>
        </w:numPr>
        <w:tabs>
          <w:tab w:val="left" w:pos="884"/>
          <w:tab w:val="left" w:pos="5682"/>
        </w:tabs>
        <w:spacing w:before="161" w:after="0" w:line="240" w:lineRule="auto"/>
        <w:ind w:left="883" w:right="0" w:hanging="183"/>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牵头方（</w:t>
      </w:r>
      <w:r>
        <w:rPr>
          <w:rFonts w:hint="eastAsia" w:asciiTheme="minorEastAsia" w:hAnsiTheme="minorEastAsia" w:eastAsiaTheme="minorEastAsia" w:cstheme="minorEastAsia"/>
          <w:color w:val="auto"/>
          <w:sz w:val="24"/>
          <w:u w:val="single"/>
        </w:rPr>
        <w:t>全称</w:t>
      </w:r>
      <w:r>
        <w:rPr>
          <w:rFonts w:hint="eastAsia" w:asciiTheme="minorEastAsia" w:hAnsiTheme="minorEastAsia" w:eastAsiaTheme="minorEastAsia" w:cstheme="minorEastAsia"/>
          <w:color w:val="auto"/>
          <w:sz w:val="24"/>
        </w:rPr>
        <w:t>）的合同金额占合同总额的</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rPr>
        <w:tab/>
      </w:r>
      <w:r>
        <w:rPr>
          <w:rFonts w:hint="eastAsia" w:asciiTheme="minorEastAsia" w:hAnsiTheme="minorEastAsia" w:eastAsiaTheme="minorEastAsia" w:cstheme="minorEastAsia"/>
          <w:color w:val="auto"/>
          <w:sz w:val="24"/>
        </w:rPr>
        <w:t>%；</w:t>
      </w:r>
    </w:p>
    <w:p w14:paraId="299E610B">
      <w:pPr>
        <w:pStyle w:val="24"/>
        <w:numPr>
          <w:ilvl w:val="0"/>
          <w:numId w:val="75"/>
        </w:numPr>
        <w:tabs>
          <w:tab w:val="left" w:pos="884"/>
        </w:tabs>
        <w:spacing w:before="160" w:after="0" w:line="240" w:lineRule="auto"/>
        <w:ind w:left="883" w:right="0" w:hanging="183"/>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成员方：</w:t>
      </w:r>
    </w:p>
    <w:p w14:paraId="51C2965A">
      <w:pPr>
        <w:pStyle w:val="6"/>
        <w:tabs>
          <w:tab w:val="left" w:pos="6044"/>
        </w:tabs>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2.1（</w:t>
      </w:r>
      <w:r>
        <w:rPr>
          <w:rFonts w:hint="eastAsia" w:asciiTheme="minorEastAsia" w:hAnsiTheme="minorEastAsia" w:eastAsiaTheme="minorEastAsia" w:cstheme="minorEastAsia"/>
          <w:color w:val="auto"/>
          <w:u w:val="single"/>
        </w:rPr>
        <w:t>成员</w:t>
      </w:r>
      <w:r>
        <w:rPr>
          <w:rFonts w:hint="eastAsia" w:asciiTheme="minorEastAsia" w:hAnsiTheme="minorEastAsia" w:eastAsiaTheme="minorEastAsia" w:cstheme="minorEastAsia"/>
          <w:color w:val="auto"/>
          <w:spacing w:val="-61"/>
          <w:u w:val="single"/>
        </w:rPr>
        <w:t xml:space="preserve"> </w:t>
      </w:r>
      <w:r>
        <w:rPr>
          <w:rFonts w:hint="eastAsia" w:asciiTheme="minorEastAsia" w:hAnsiTheme="minorEastAsia" w:eastAsiaTheme="minorEastAsia" w:cstheme="minorEastAsia"/>
          <w:color w:val="auto"/>
          <w:u w:val="single"/>
        </w:rPr>
        <w:t>1</w:t>
      </w:r>
      <w:r>
        <w:rPr>
          <w:rFonts w:hint="eastAsia" w:asciiTheme="minorEastAsia" w:hAnsiTheme="minorEastAsia" w:eastAsiaTheme="minorEastAsia" w:cstheme="minorEastAsia"/>
          <w:color w:val="auto"/>
          <w:spacing w:val="5"/>
          <w:u w:val="single"/>
        </w:rPr>
        <w:t xml:space="preserve"> </w:t>
      </w:r>
      <w:r>
        <w:rPr>
          <w:rFonts w:hint="eastAsia" w:asciiTheme="minorEastAsia" w:hAnsiTheme="minorEastAsia" w:eastAsiaTheme="minorEastAsia" w:cstheme="minorEastAsia"/>
          <w:color w:val="auto"/>
          <w:u w:val="single"/>
        </w:rPr>
        <w:t>的全称</w:t>
      </w:r>
      <w:r>
        <w:rPr>
          <w:rFonts w:hint="eastAsia" w:asciiTheme="minorEastAsia" w:hAnsiTheme="minorEastAsia" w:eastAsiaTheme="minorEastAsia" w:cstheme="minorEastAsia"/>
          <w:color w:val="auto"/>
        </w:rPr>
        <w:t>）的合同金额占合同总额的</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w:t>
      </w:r>
    </w:p>
    <w:p w14:paraId="4BA3A6EF">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w:t>
      </w:r>
    </w:p>
    <w:p w14:paraId="76F0E1E3">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三、联合体各方约定：</w:t>
      </w:r>
    </w:p>
    <w:p w14:paraId="5C5335BA">
      <w:pPr>
        <w:pStyle w:val="6"/>
        <w:spacing w:before="160"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1、由</w:t>
      </w:r>
      <w:r>
        <w:rPr>
          <w:rFonts w:hint="eastAsia" w:asciiTheme="minorEastAsia" w:hAnsiTheme="minorEastAsia" w:eastAsiaTheme="minorEastAsia" w:cstheme="minorEastAsia"/>
          <w:color w:val="auto"/>
          <w:u w:val="single"/>
        </w:rPr>
        <w:t>（填写“牵头方的全称”）代表联合体办理参加本项目投标的有关事宜（</w:t>
      </w:r>
      <w:r>
        <w:rPr>
          <w:rFonts w:hint="eastAsia" w:asciiTheme="minorEastAsia" w:hAnsiTheme="minorEastAsia" w:eastAsiaTheme="minorEastAsia" w:cstheme="minorEastAsia"/>
          <w:color w:val="auto"/>
          <w:spacing w:val="-67"/>
          <w:u w:val="single"/>
        </w:rPr>
        <w:t>包括</w:t>
      </w:r>
      <w:r>
        <w:rPr>
          <w:rFonts w:hint="eastAsia" w:asciiTheme="minorEastAsia" w:hAnsiTheme="minorEastAsia" w:eastAsiaTheme="minorEastAsia" w:cstheme="minorEastAsia"/>
          <w:color w:val="auto"/>
          <w:spacing w:val="-10"/>
          <w:u w:val="single"/>
        </w:rPr>
        <w:t>但不限于：注册账号、派出投标人代表、提交投标文件及参加开标、谈判、澄清等</w:t>
      </w:r>
      <w:r>
        <w:rPr>
          <w:rFonts w:hint="eastAsia" w:asciiTheme="minorEastAsia" w:hAnsiTheme="minorEastAsia" w:eastAsiaTheme="minorEastAsia" w:cstheme="minorEastAsia"/>
          <w:color w:val="auto"/>
          <w:spacing w:val="-99"/>
          <w:u w:val="single"/>
        </w:rPr>
        <w:t>）</w:t>
      </w:r>
      <w:r>
        <w:rPr>
          <w:rFonts w:hint="eastAsia" w:asciiTheme="minorEastAsia" w:hAnsiTheme="minorEastAsia" w:eastAsiaTheme="minorEastAsia" w:cstheme="minorEastAsia"/>
          <w:color w:val="auto"/>
          <w:spacing w:val="-8"/>
          <w:u w:val="single"/>
        </w:rPr>
        <w:t>，在</w:t>
      </w:r>
      <w:r>
        <w:rPr>
          <w:rFonts w:hint="eastAsia" w:asciiTheme="minorEastAsia" w:hAnsiTheme="minorEastAsia" w:eastAsiaTheme="minorEastAsia" w:cstheme="minorEastAsia"/>
          <w:color w:val="auto"/>
          <w:spacing w:val="-9"/>
          <w:u w:val="single"/>
        </w:rPr>
        <w:t>此过程中，投标人代表签字的一切文件和处理结果，联合体均予以认可并对此承担责  任。</w:t>
      </w:r>
    </w:p>
    <w:p w14:paraId="7DAF2464">
      <w:pPr>
        <w:pStyle w:val="6"/>
        <w:spacing w:before="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2、联合体各方约定由</w:t>
      </w:r>
      <w:r>
        <w:rPr>
          <w:rFonts w:hint="eastAsia" w:asciiTheme="minorEastAsia" w:hAnsiTheme="minorEastAsia" w:eastAsiaTheme="minorEastAsia" w:cstheme="minorEastAsia"/>
          <w:color w:val="auto"/>
          <w:u w:val="single"/>
        </w:rPr>
        <w:t>（填写“牵头方的全称”）代表联合体办理投标保证金事宜。</w:t>
      </w:r>
    </w:p>
    <w:p w14:paraId="20CC0619">
      <w:pPr>
        <w:pStyle w:val="6"/>
        <w:spacing w:before="160"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3、根据福建省财政厅文件（闽财购[2008]10 号）的规定，若本项目采用综合评分</w:t>
      </w:r>
      <w:r>
        <w:rPr>
          <w:rFonts w:hint="eastAsia" w:asciiTheme="minorEastAsia" w:hAnsiTheme="minorEastAsia" w:eastAsiaTheme="minorEastAsia" w:cstheme="minorEastAsia"/>
          <w:color w:val="auto"/>
          <w:spacing w:val="-8"/>
        </w:rPr>
        <w:t>法，则联合体只能确定由其中一方的条件参与商务部分的评标。因此，联合体各方约定</w:t>
      </w:r>
      <w:r>
        <w:rPr>
          <w:rFonts w:hint="eastAsia" w:asciiTheme="minorEastAsia" w:hAnsiTheme="minorEastAsia" w:eastAsiaTheme="minorEastAsia" w:cstheme="minorEastAsia"/>
          <w:color w:val="auto"/>
          <w:spacing w:val="-41"/>
        </w:rPr>
        <w:t>以</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spacing w:val="-15"/>
        </w:rPr>
        <w:t xml:space="preserve">应填写“其中一方的全称”，如：联合体确定以成员一的条件参与商务部分的评标， </w:t>
      </w:r>
      <w:r>
        <w:rPr>
          <w:rFonts w:hint="eastAsia" w:asciiTheme="minorEastAsia" w:hAnsiTheme="minorEastAsia" w:eastAsiaTheme="minorEastAsia" w:cstheme="minorEastAsia"/>
          <w:color w:val="auto"/>
        </w:rPr>
        <w:t>则填写“成员一的全称”…；否则填写“无”）的条件参与商务部分的评标。</w:t>
      </w:r>
    </w:p>
    <w:p w14:paraId="53EAE087">
      <w:pPr>
        <w:pStyle w:val="6"/>
        <w:spacing w:before="3"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7"/>
        </w:rPr>
        <w:t xml:space="preserve">四、若中标，牵头方将代表联合体与采购人就合同签订事宜进行协商；若协商一致， </w:t>
      </w:r>
      <w:r>
        <w:rPr>
          <w:rFonts w:hint="eastAsia" w:asciiTheme="minorEastAsia" w:hAnsiTheme="minorEastAsia" w:eastAsiaTheme="minorEastAsia" w:cstheme="minorEastAsia"/>
          <w:color w:val="auto"/>
          <w:spacing w:val="-5"/>
        </w:rPr>
        <w:t>则联合体各方将共同与采购人签订</w:t>
      </w:r>
      <w:r>
        <w:rPr>
          <w:rFonts w:hint="eastAsia" w:asciiTheme="minorEastAsia" w:hAnsiTheme="minorEastAsia" w:eastAsiaTheme="minorEastAsia" w:cstheme="minorEastAsia"/>
          <w:color w:val="auto"/>
          <w:spacing w:val="-5"/>
          <w:lang w:eastAsia="zh-CN"/>
        </w:rPr>
        <w:t>企业采购</w:t>
      </w:r>
      <w:r>
        <w:rPr>
          <w:rFonts w:hint="eastAsia" w:asciiTheme="minorEastAsia" w:hAnsiTheme="minorEastAsia" w:eastAsiaTheme="minorEastAsia" w:cstheme="minorEastAsia"/>
          <w:color w:val="auto"/>
          <w:spacing w:val="-5"/>
        </w:rPr>
        <w:t>合同，并就</w:t>
      </w:r>
      <w:r>
        <w:rPr>
          <w:rFonts w:hint="eastAsia" w:asciiTheme="minorEastAsia" w:hAnsiTheme="minorEastAsia" w:eastAsiaTheme="minorEastAsia" w:cstheme="minorEastAsia"/>
          <w:color w:val="auto"/>
          <w:spacing w:val="-5"/>
          <w:lang w:eastAsia="zh-CN"/>
        </w:rPr>
        <w:t>企业采购</w:t>
      </w:r>
      <w:r>
        <w:rPr>
          <w:rFonts w:hint="eastAsia" w:asciiTheme="minorEastAsia" w:hAnsiTheme="minorEastAsia" w:eastAsiaTheme="minorEastAsia" w:cstheme="minorEastAsia"/>
          <w:color w:val="auto"/>
          <w:spacing w:val="-5"/>
        </w:rPr>
        <w:t>合同约定的事项对采购人承担连带责任。</w:t>
      </w:r>
    </w:p>
    <w:p w14:paraId="2552ECC1">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五、本协议自签署之日起生效，</w:t>
      </w:r>
      <w:r>
        <w:rPr>
          <w:rFonts w:hint="eastAsia" w:asciiTheme="minorEastAsia" w:hAnsiTheme="minorEastAsia" w:eastAsiaTheme="minorEastAsia" w:cstheme="minorEastAsia"/>
          <w:color w:val="auto"/>
          <w:lang w:eastAsia="zh-CN"/>
        </w:rPr>
        <w:t>企业采购</w:t>
      </w:r>
      <w:r>
        <w:rPr>
          <w:rFonts w:hint="eastAsia" w:asciiTheme="minorEastAsia" w:hAnsiTheme="minorEastAsia" w:eastAsiaTheme="minorEastAsia" w:cstheme="minorEastAsia"/>
          <w:color w:val="auto"/>
        </w:rPr>
        <w:t>合同履行完毕后自动失效。</w:t>
      </w:r>
    </w:p>
    <w:p w14:paraId="4DD20196">
      <w:pPr>
        <w:spacing w:after="0"/>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7185CE1F">
      <w:pPr>
        <w:pStyle w:val="6"/>
        <w:spacing w:before="4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六、本协议一式</w:t>
      </w:r>
      <w:r>
        <w:rPr>
          <w:rFonts w:hint="eastAsia" w:asciiTheme="minorEastAsia" w:hAnsiTheme="minorEastAsia" w:eastAsiaTheme="minorEastAsia" w:cstheme="minorEastAsia"/>
          <w:color w:val="auto"/>
          <w:u w:val="single"/>
        </w:rPr>
        <w:t>（填写具体份数）</w:t>
      </w:r>
      <w:r>
        <w:rPr>
          <w:rFonts w:hint="eastAsia" w:asciiTheme="minorEastAsia" w:hAnsiTheme="minorEastAsia" w:eastAsiaTheme="minorEastAsia" w:cstheme="minorEastAsia"/>
          <w:color w:val="auto"/>
        </w:rPr>
        <w:t>份，联合体各方各执一份，投标文件中提交一份。</w:t>
      </w:r>
    </w:p>
    <w:p w14:paraId="7DC13283">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（以下无正文）</w:t>
      </w:r>
    </w:p>
    <w:p w14:paraId="26DCEDBC">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牵头方：</w:t>
      </w:r>
      <w:r>
        <w:rPr>
          <w:rFonts w:hint="eastAsia" w:asciiTheme="minorEastAsia" w:hAnsiTheme="minorEastAsia" w:eastAsiaTheme="minorEastAsia" w:cstheme="minorEastAsia"/>
          <w:color w:val="auto"/>
          <w:u w:val="single"/>
        </w:rPr>
        <w:t>（全称并加盖单位公章）</w:t>
      </w:r>
    </w:p>
    <w:p w14:paraId="3722A82A">
      <w:pPr>
        <w:pStyle w:val="6"/>
        <w:spacing w:before="160" w:line="364" w:lineRule="auto"/>
        <w:ind w:left="700" w:right="432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法定代表人或其委托代理人：</w:t>
      </w:r>
      <w:r>
        <w:rPr>
          <w:rFonts w:hint="eastAsia" w:asciiTheme="minorEastAsia" w:hAnsiTheme="minorEastAsia" w:eastAsiaTheme="minorEastAsia" w:cstheme="minorEastAsia"/>
          <w:color w:val="auto"/>
          <w:u w:val="single"/>
        </w:rPr>
        <w:t>（签字或盖章</w:t>
      </w:r>
      <w:r>
        <w:rPr>
          <w:rFonts w:hint="eastAsia" w:asciiTheme="minorEastAsia" w:hAnsiTheme="minorEastAsia" w:eastAsiaTheme="minorEastAsia" w:cstheme="minorEastAsia"/>
          <w:color w:val="auto"/>
          <w:spacing w:val="-19"/>
          <w:u w:val="single"/>
        </w:rPr>
        <w:t xml:space="preserve">） </w:t>
      </w:r>
      <w:r>
        <w:rPr>
          <w:rFonts w:hint="eastAsia" w:asciiTheme="minorEastAsia" w:hAnsiTheme="minorEastAsia" w:eastAsiaTheme="minorEastAsia" w:cstheme="minorEastAsia"/>
          <w:color w:val="auto"/>
        </w:rPr>
        <w:t>成员一：</w:t>
      </w:r>
      <w:r>
        <w:rPr>
          <w:rFonts w:hint="eastAsia" w:asciiTheme="minorEastAsia" w:hAnsiTheme="minorEastAsia" w:eastAsiaTheme="minorEastAsia" w:cstheme="minorEastAsia"/>
          <w:color w:val="auto"/>
          <w:u w:val="single"/>
        </w:rPr>
        <w:t>（全称并加盖成员一的单位公章）</w:t>
      </w:r>
      <w:r>
        <w:rPr>
          <w:rFonts w:hint="eastAsia" w:asciiTheme="minorEastAsia" w:hAnsiTheme="minorEastAsia" w:eastAsiaTheme="minorEastAsia" w:cstheme="minorEastAsia"/>
          <w:color w:val="auto"/>
        </w:rPr>
        <w:t xml:space="preserve"> 法定代表人或其委托代理人：</w:t>
      </w:r>
      <w:r>
        <w:rPr>
          <w:rFonts w:hint="eastAsia" w:asciiTheme="minorEastAsia" w:hAnsiTheme="minorEastAsia" w:eastAsiaTheme="minorEastAsia" w:cstheme="minorEastAsia"/>
          <w:color w:val="auto"/>
          <w:u w:val="single"/>
        </w:rPr>
        <w:t>（签字或盖章</w:t>
      </w:r>
      <w:r>
        <w:rPr>
          <w:rFonts w:hint="eastAsia" w:asciiTheme="minorEastAsia" w:hAnsiTheme="minorEastAsia" w:eastAsiaTheme="minorEastAsia" w:cstheme="minorEastAsia"/>
          <w:color w:val="auto"/>
          <w:spacing w:val="-19"/>
          <w:u w:val="single"/>
        </w:rPr>
        <w:t>）</w:t>
      </w:r>
    </w:p>
    <w:p w14:paraId="71DF3D2A">
      <w:pPr>
        <w:pStyle w:val="6"/>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w:t>
      </w:r>
    </w:p>
    <w:p w14:paraId="61CE3938">
      <w:pPr>
        <w:pStyle w:val="6"/>
        <w:spacing w:before="161" w:line="364" w:lineRule="auto"/>
        <w:ind w:left="700" w:right="432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成员**：</w:t>
      </w:r>
      <w:r>
        <w:rPr>
          <w:rFonts w:hint="eastAsia" w:asciiTheme="minorEastAsia" w:hAnsiTheme="minorEastAsia" w:eastAsiaTheme="minorEastAsia" w:cstheme="minorEastAsia"/>
          <w:color w:val="auto"/>
          <w:u w:val="single"/>
        </w:rPr>
        <w:t>（全称并加盖成员**的单位公章）</w:t>
      </w:r>
      <w:r>
        <w:rPr>
          <w:rFonts w:hint="eastAsia" w:asciiTheme="minorEastAsia" w:hAnsiTheme="minorEastAsia" w:eastAsiaTheme="minorEastAsia" w:cstheme="minorEastAsia"/>
          <w:color w:val="auto"/>
        </w:rPr>
        <w:t xml:space="preserve"> 法定代表人或其委托代理人：</w:t>
      </w:r>
      <w:r>
        <w:rPr>
          <w:rFonts w:hint="eastAsia" w:asciiTheme="minorEastAsia" w:hAnsiTheme="minorEastAsia" w:eastAsiaTheme="minorEastAsia" w:cstheme="minorEastAsia"/>
          <w:color w:val="auto"/>
          <w:u w:val="single"/>
        </w:rPr>
        <w:t>（签字或盖章</w:t>
      </w:r>
      <w:r>
        <w:rPr>
          <w:rFonts w:hint="eastAsia" w:asciiTheme="minorEastAsia" w:hAnsiTheme="minorEastAsia" w:eastAsiaTheme="minorEastAsia" w:cstheme="minorEastAsia"/>
          <w:color w:val="auto"/>
          <w:spacing w:val="-19"/>
          <w:u w:val="single"/>
        </w:rPr>
        <w:t>）</w:t>
      </w:r>
    </w:p>
    <w:p w14:paraId="6F870CE5">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6597F931">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75B1A397">
      <w:pPr>
        <w:pStyle w:val="6"/>
        <w:tabs>
          <w:tab w:val="left" w:pos="2379"/>
          <w:tab w:val="left" w:pos="3099"/>
          <w:tab w:val="left" w:pos="3819"/>
        </w:tabs>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br w:type="column"/>
      </w:r>
      <w:r>
        <w:rPr>
          <w:rFonts w:hint="eastAsia" w:asciiTheme="minorEastAsia" w:hAnsiTheme="minorEastAsia" w:eastAsiaTheme="minorEastAsia" w:cstheme="minorEastAsia"/>
          <w:color w:val="auto"/>
        </w:rPr>
        <w:t>签署日期：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日</w:t>
      </w:r>
    </w:p>
    <w:p w14:paraId="1BCE33EF">
      <w:pPr>
        <w:spacing w:after="0"/>
        <w:rPr>
          <w:rFonts w:hint="eastAsia" w:asciiTheme="minorEastAsia" w:hAnsiTheme="minorEastAsia" w:eastAsiaTheme="minorEastAsia" w:cstheme="minorEastAsia"/>
          <w:color w:val="auto"/>
        </w:rPr>
        <w:sectPr>
          <w:type w:val="continuous"/>
          <w:pgSz w:w="11910" w:h="16840"/>
          <w:pgMar w:top="1580" w:right="860" w:bottom="1080" w:left="1220" w:header="720" w:footer="720" w:gutter="0"/>
          <w:pgNumType w:fmt="decimal"/>
          <w:cols w:equalWidth="0" w:num="2">
            <w:col w:w="1701" w:space="3486"/>
            <w:col w:w="4643"/>
          </w:cols>
        </w:sectPr>
      </w:pPr>
    </w:p>
    <w:p w14:paraId="54B90086">
      <w:pPr>
        <w:pStyle w:val="6"/>
        <w:spacing w:before="16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1、招标文件接受联合体投标且投标人为联合体的，投标人应提供本协议；否则无须提供。</w:t>
      </w:r>
    </w:p>
    <w:p w14:paraId="24424DAD">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2、本协议由委托代理人签字或盖章的，应按照本章载明的格式提供“单位授权书”。</w:t>
      </w:r>
    </w:p>
    <w:p w14:paraId="65386F2D">
      <w:pPr>
        <w:pStyle w:val="6"/>
        <w:spacing w:before="16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3、在以联合体形式落实中小企业预留份额项目中，投标人除了要提供《中小企业声明函》，还需提供本协议。</w:t>
      </w:r>
    </w:p>
    <w:p w14:paraId="7AD002B7">
      <w:pPr>
        <w:spacing w:after="0" w:line="364" w:lineRule="auto"/>
        <w:rPr>
          <w:rFonts w:hint="eastAsia" w:asciiTheme="minorEastAsia" w:hAnsiTheme="minorEastAsia" w:eastAsiaTheme="minorEastAsia" w:cstheme="minorEastAsia"/>
          <w:color w:val="auto"/>
        </w:rPr>
        <w:sectPr>
          <w:type w:val="continuous"/>
          <w:pgSz w:w="11910" w:h="16840"/>
          <w:pgMar w:top="1580" w:right="860" w:bottom="1080" w:left="1220" w:header="720" w:footer="720" w:gutter="0"/>
          <w:pgNumType w:fmt="decimal"/>
          <w:cols w:space="720" w:num="1"/>
        </w:sectPr>
      </w:pPr>
    </w:p>
    <w:p w14:paraId="6A250350">
      <w:pPr>
        <w:tabs>
          <w:tab w:val="left" w:pos="4299"/>
          <w:tab w:val="left" w:pos="4359"/>
        </w:tabs>
        <w:spacing w:before="42" w:line="364" w:lineRule="auto"/>
        <w:ind w:right="150" w:rightChars="0"/>
        <w:jc w:val="center"/>
        <w:rPr>
          <w:rFonts w:hint="eastAsia" w:asciiTheme="minorEastAsia" w:hAnsiTheme="minorEastAsia" w:eastAsiaTheme="minorEastAsia" w:cstheme="minorEastAsia"/>
          <w:b/>
          <w:color w:val="auto"/>
          <w:spacing w:val="-15"/>
          <w:sz w:val="24"/>
        </w:rPr>
      </w:pPr>
      <w:bookmarkStart w:id="71" w:name="二-11分包意向协议（若有）"/>
      <w:bookmarkEnd w:id="71"/>
      <w:r>
        <w:rPr>
          <w:rFonts w:hint="eastAsia" w:asciiTheme="minorEastAsia" w:hAnsiTheme="minorEastAsia" w:eastAsiaTheme="minorEastAsia" w:cstheme="minorEastAsia"/>
          <w:b/>
          <w:color w:val="auto"/>
          <w:sz w:val="24"/>
        </w:rPr>
        <w:t>二-11</w:t>
      </w:r>
      <w:r>
        <w:rPr>
          <w:rFonts w:hint="eastAsia" w:asciiTheme="minorEastAsia" w:hAnsiTheme="minorEastAsia" w:eastAsiaTheme="minorEastAsia" w:cstheme="minorEastAsia"/>
          <w:b/>
          <w:color w:val="auto"/>
          <w:spacing w:val="3"/>
          <w:sz w:val="24"/>
        </w:rPr>
        <w:t xml:space="preserve"> </w:t>
      </w:r>
      <w:r>
        <w:rPr>
          <w:rFonts w:hint="eastAsia" w:asciiTheme="minorEastAsia" w:hAnsiTheme="minorEastAsia" w:eastAsiaTheme="minorEastAsia" w:cstheme="minorEastAsia"/>
          <w:b/>
          <w:color w:val="auto"/>
          <w:sz w:val="24"/>
        </w:rPr>
        <w:t>分包意向协议（若有</w:t>
      </w:r>
      <w:r>
        <w:rPr>
          <w:rFonts w:hint="eastAsia" w:asciiTheme="minorEastAsia" w:hAnsiTheme="minorEastAsia" w:eastAsiaTheme="minorEastAsia" w:cstheme="minorEastAsia"/>
          <w:b/>
          <w:color w:val="auto"/>
          <w:spacing w:val="-15"/>
          <w:sz w:val="24"/>
        </w:rPr>
        <w:t>）</w:t>
      </w:r>
    </w:p>
    <w:p w14:paraId="4575938C">
      <w:pPr>
        <w:tabs>
          <w:tab w:val="left" w:pos="4299"/>
          <w:tab w:val="left" w:pos="4359"/>
        </w:tabs>
        <w:spacing w:before="42" w:line="364" w:lineRule="auto"/>
        <w:ind w:right="3097"/>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甲方（总包方）：</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rPr>
        <w:tab/>
      </w:r>
      <w:r>
        <w:rPr>
          <w:rFonts w:hint="eastAsia" w:asciiTheme="minorEastAsia" w:hAnsiTheme="minorEastAsia" w:eastAsiaTheme="minorEastAsia" w:cstheme="minorEastAsia"/>
          <w:color w:val="auto"/>
          <w:sz w:val="24"/>
        </w:rPr>
        <w:t>（即本项目的投标人） 乙方（分包方）：</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rPr>
        <w:tab/>
      </w:r>
      <w:r>
        <w:rPr>
          <w:rFonts w:hint="eastAsia" w:asciiTheme="minorEastAsia" w:hAnsiTheme="minorEastAsia" w:eastAsiaTheme="minorEastAsia" w:cstheme="minorEastAsia"/>
          <w:color w:val="auto"/>
          <w:sz w:val="24"/>
          <w:u w:val="single"/>
        </w:rPr>
        <w:tab/>
      </w:r>
    </w:p>
    <w:p w14:paraId="1803215D">
      <w:pPr>
        <w:pStyle w:val="6"/>
        <w:tabs>
          <w:tab w:val="left" w:pos="8058"/>
        </w:tabs>
        <w:spacing w:before="2"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兹有甲方参</w:t>
      </w:r>
      <w:r>
        <w:rPr>
          <w:rFonts w:hint="eastAsia" w:asciiTheme="minorEastAsia" w:hAnsiTheme="minorEastAsia" w:eastAsiaTheme="minorEastAsia" w:cstheme="minorEastAsia"/>
          <w:color w:val="auto"/>
          <w:spacing w:val="-12"/>
        </w:rPr>
        <w:t>加</w:t>
      </w:r>
      <w:r>
        <w:rPr>
          <w:rFonts w:hint="eastAsia" w:asciiTheme="minorEastAsia" w:hAnsiTheme="minorEastAsia" w:eastAsiaTheme="minorEastAsia" w:cstheme="minorEastAsia"/>
          <w:color w:val="auto"/>
          <w:spacing w:val="-3"/>
          <w:u w:val="single"/>
        </w:rPr>
        <w:t>（</w:t>
      </w:r>
      <w:r>
        <w:rPr>
          <w:rFonts w:hint="eastAsia" w:asciiTheme="minorEastAsia" w:hAnsiTheme="minorEastAsia" w:eastAsiaTheme="minorEastAsia" w:cstheme="minorEastAsia"/>
          <w:color w:val="auto"/>
          <w:u w:val="single"/>
        </w:rPr>
        <w:t>填</w:t>
      </w:r>
      <w:r>
        <w:rPr>
          <w:rFonts w:hint="eastAsia" w:asciiTheme="minorEastAsia" w:hAnsiTheme="minorEastAsia" w:eastAsiaTheme="minorEastAsia" w:cstheme="minorEastAsia"/>
          <w:color w:val="auto"/>
          <w:spacing w:val="-12"/>
          <w:u w:val="single"/>
        </w:rPr>
        <w:t>写</w:t>
      </w:r>
      <w:r>
        <w:rPr>
          <w:rFonts w:hint="eastAsia" w:asciiTheme="minorEastAsia" w:hAnsiTheme="minorEastAsia" w:eastAsiaTheme="minorEastAsia" w:cstheme="minorEastAsia"/>
          <w:color w:val="auto"/>
          <w:u w:val="single"/>
        </w:rPr>
        <w:t>“项目名称</w:t>
      </w:r>
      <w:r>
        <w:rPr>
          <w:rFonts w:hint="eastAsia" w:asciiTheme="minorEastAsia" w:hAnsiTheme="minorEastAsia" w:eastAsiaTheme="minorEastAsia" w:cstheme="minorEastAsia"/>
          <w:color w:val="auto"/>
          <w:spacing w:val="-15"/>
          <w:u w:val="single"/>
        </w:rPr>
        <w:t>”）</w:t>
      </w:r>
      <w:r>
        <w:rPr>
          <w:rFonts w:hint="eastAsia" w:asciiTheme="minorEastAsia" w:hAnsiTheme="minorEastAsia" w:eastAsiaTheme="minorEastAsia" w:cstheme="minorEastAsia"/>
          <w:color w:val="auto"/>
        </w:rPr>
        <w:t>项</w:t>
      </w:r>
      <w:r>
        <w:rPr>
          <w:rFonts w:hint="eastAsia" w:asciiTheme="minorEastAsia" w:hAnsiTheme="minorEastAsia" w:eastAsiaTheme="minorEastAsia" w:cstheme="minorEastAsia"/>
          <w:color w:val="auto"/>
          <w:spacing w:val="-12"/>
        </w:rPr>
        <w:t>目</w:t>
      </w:r>
      <w:r>
        <w:rPr>
          <w:rFonts w:hint="eastAsia" w:asciiTheme="minorEastAsia" w:hAnsiTheme="minorEastAsia" w:eastAsiaTheme="minorEastAsia" w:cstheme="minorEastAsia"/>
          <w:color w:val="auto"/>
        </w:rPr>
        <w:t>（项目编号</w:t>
      </w:r>
      <w:r>
        <w:rPr>
          <w:rFonts w:hint="eastAsia" w:asciiTheme="minorEastAsia" w:hAnsiTheme="minorEastAsia" w:eastAsiaTheme="minorEastAsia" w:cstheme="minorEastAsia"/>
          <w:color w:val="auto"/>
          <w:spacing w:val="-15"/>
        </w:rPr>
        <w:t>：</w:t>
      </w:r>
      <w:r>
        <w:rPr>
          <w:rFonts w:hint="eastAsia" w:asciiTheme="minorEastAsia" w:hAnsiTheme="minorEastAsia" w:eastAsiaTheme="minorEastAsia" w:cstheme="minorEastAsia"/>
          <w:color w:val="auto"/>
          <w:spacing w:val="-15"/>
          <w:u w:val="single"/>
        </w:rPr>
        <w:t xml:space="preserve"> </w:t>
      </w:r>
      <w:r>
        <w:rPr>
          <w:rFonts w:hint="eastAsia" w:asciiTheme="minorEastAsia" w:hAnsiTheme="minorEastAsia" w:eastAsiaTheme="minorEastAsia" w:cstheme="minorEastAsia"/>
          <w:color w:val="auto"/>
          <w:spacing w:val="-15"/>
          <w:u w:val="single"/>
        </w:rPr>
        <w:tab/>
      </w:r>
      <w:r>
        <w:rPr>
          <w:rFonts w:hint="eastAsia" w:asciiTheme="minorEastAsia" w:hAnsiTheme="minorEastAsia" w:eastAsiaTheme="minorEastAsia" w:cstheme="minorEastAsia"/>
          <w:color w:val="auto"/>
          <w:spacing w:val="-15"/>
        </w:rPr>
        <w:t>）</w:t>
      </w:r>
      <w:r>
        <w:rPr>
          <w:rFonts w:hint="eastAsia" w:asciiTheme="minorEastAsia" w:hAnsiTheme="minorEastAsia" w:eastAsiaTheme="minorEastAsia" w:cstheme="minorEastAsia"/>
          <w:color w:val="auto"/>
        </w:rPr>
        <w:t>的</w:t>
      </w:r>
      <w:r>
        <w:rPr>
          <w:rFonts w:hint="eastAsia" w:asciiTheme="minorEastAsia" w:hAnsiTheme="minorEastAsia" w:eastAsiaTheme="minorEastAsia" w:cstheme="minorEastAsia"/>
          <w:color w:val="auto"/>
          <w:lang w:eastAsia="zh-CN"/>
        </w:rPr>
        <w:t>企业采购</w:t>
      </w:r>
      <w:r>
        <w:rPr>
          <w:rFonts w:hint="eastAsia" w:asciiTheme="minorEastAsia" w:hAnsiTheme="minorEastAsia" w:eastAsiaTheme="minorEastAsia" w:cstheme="minorEastAsia"/>
          <w:color w:val="auto"/>
        </w:rPr>
        <w:t>活动</w:t>
      </w:r>
      <w:r>
        <w:rPr>
          <w:rFonts w:hint="eastAsia" w:asciiTheme="minorEastAsia" w:hAnsiTheme="minorEastAsia" w:eastAsiaTheme="minorEastAsia" w:cstheme="minorEastAsia"/>
          <w:color w:val="auto"/>
          <w:spacing w:val="-48"/>
        </w:rPr>
        <w:t>。</w:t>
      </w:r>
      <w:r>
        <w:rPr>
          <w:rFonts w:hint="eastAsia" w:asciiTheme="minorEastAsia" w:hAnsiTheme="minorEastAsia" w:eastAsiaTheme="minorEastAsia" w:cstheme="minorEastAsia"/>
          <w:color w:val="auto"/>
        </w:rPr>
        <w:t>甲方期望将采购项目的部分采购标的分包给乙方完成</w:t>
      </w:r>
      <w:r>
        <w:rPr>
          <w:rFonts w:hint="eastAsia" w:asciiTheme="minorEastAsia" w:hAnsiTheme="minorEastAsia" w:eastAsiaTheme="minorEastAsia" w:cstheme="minorEastAsia"/>
          <w:color w:val="auto"/>
          <w:spacing w:val="-46"/>
        </w:rPr>
        <w:t>，</w:t>
      </w:r>
      <w:r>
        <w:rPr>
          <w:rFonts w:hint="eastAsia" w:asciiTheme="minorEastAsia" w:hAnsiTheme="minorEastAsia" w:eastAsiaTheme="minorEastAsia" w:cstheme="minorEastAsia"/>
          <w:color w:val="auto"/>
        </w:rPr>
        <w:t>而乙方保证能够向甲</w:t>
      </w:r>
      <w:r>
        <w:rPr>
          <w:rFonts w:hint="eastAsia" w:asciiTheme="minorEastAsia" w:hAnsiTheme="minorEastAsia" w:eastAsiaTheme="minorEastAsia" w:cstheme="minorEastAsia"/>
          <w:color w:val="auto"/>
          <w:spacing w:val="-17"/>
        </w:rPr>
        <w:t>方</w:t>
      </w:r>
      <w:r>
        <w:rPr>
          <w:rFonts w:hint="eastAsia" w:asciiTheme="minorEastAsia" w:hAnsiTheme="minorEastAsia" w:eastAsiaTheme="minorEastAsia" w:cstheme="minorEastAsia"/>
          <w:color w:val="auto"/>
        </w:rPr>
        <w:t>提供本协议项下的采购标的，甲、乙双方就合同分包的有关事宜达成下列协议：</w:t>
      </w:r>
    </w:p>
    <w:p w14:paraId="479AC00C">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一、分包标的</w:t>
      </w:r>
    </w:p>
    <w:p w14:paraId="307748FA">
      <w:pPr>
        <w:pStyle w:val="6"/>
        <w:spacing w:before="161" w:line="364" w:lineRule="auto"/>
        <w:ind w:left="700" w:right="360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u w:val="single"/>
        </w:rPr>
        <w:t>（根据双方的意向填写，可以是表格或文字描述）。</w:t>
      </w:r>
      <w:r>
        <w:rPr>
          <w:rFonts w:hint="eastAsia" w:asciiTheme="minorEastAsia" w:hAnsiTheme="minorEastAsia" w:eastAsiaTheme="minorEastAsia" w:cstheme="minorEastAsia"/>
          <w:color w:val="auto"/>
        </w:rPr>
        <w:t>二、分包合同金额占比</w:t>
      </w:r>
    </w:p>
    <w:p w14:paraId="6C933C06">
      <w:pPr>
        <w:pStyle w:val="6"/>
        <w:tabs>
          <w:tab w:val="left" w:pos="5259"/>
        </w:tabs>
        <w:spacing w:before="1" w:line="364" w:lineRule="auto"/>
        <w:ind w:left="700" w:right="439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分包合同价占投标总价的比例：</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rPr>
        <w:t xml:space="preserve">% </w:t>
      </w:r>
      <w:r>
        <w:rPr>
          <w:rFonts w:hint="eastAsia" w:asciiTheme="minorEastAsia" w:hAnsiTheme="minorEastAsia" w:eastAsiaTheme="minorEastAsia" w:cstheme="minorEastAsia"/>
          <w:color w:val="auto"/>
        </w:rPr>
        <w:t>三、其他条款</w:t>
      </w:r>
    </w:p>
    <w:p w14:paraId="3E3891DD">
      <w:pPr>
        <w:pStyle w:val="6"/>
        <w:spacing w:before="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8"/>
        </w:rPr>
        <w:t>分包合同标的交付时间、地点和条件，质量要求和标准，验收，款项的支付，履约</w:t>
      </w:r>
      <w:r>
        <w:rPr>
          <w:rFonts w:hint="eastAsia" w:asciiTheme="minorEastAsia" w:hAnsiTheme="minorEastAsia" w:eastAsiaTheme="minorEastAsia" w:cstheme="minorEastAsia"/>
          <w:color w:val="auto"/>
          <w:spacing w:val="-11"/>
        </w:rPr>
        <w:t>担保，违约责任，质量保证，知识产权，合同纠纷处理方式，不可抗力等条款待甲方中</w:t>
      </w:r>
      <w:r>
        <w:rPr>
          <w:rFonts w:hint="eastAsia" w:asciiTheme="minorEastAsia" w:hAnsiTheme="minorEastAsia" w:eastAsiaTheme="minorEastAsia" w:cstheme="minorEastAsia"/>
          <w:color w:val="auto"/>
        </w:rPr>
        <w:t>标（成交）后，根据甲方与采购人签订的总包合同确定具体的内容。</w:t>
      </w:r>
    </w:p>
    <w:tbl>
      <w:tblPr>
        <w:tblStyle w:val="18"/>
        <w:tblW w:w="0" w:type="auto"/>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21"/>
        <w:gridCol w:w="4621"/>
      </w:tblGrid>
      <w:tr w14:paraId="5864AD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4621" w:type="dxa"/>
          </w:tcPr>
          <w:p w14:paraId="38A004B8">
            <w:pPr>
              <w:pStyle w:val="25"/>
              <w:spacing w:before="80"/>
              <w:ind w:left="107"/>
              <w:rPr>
                <w:color w:val="auto"/>
                <w:sz w:val="24"/>
              </w:rPr>
            </w:pPr>
            <w:r>
              <w:rPr>
                <w:color w:val="auto"/>
                <w:sz w:val="24"/>
              </w:rPr>
              <w:t>甲方：</w:t>
            </w:r>
          </w:p>
        </w:tc>
        <w:tc>
          <w:tcPr>
            <w:tcW w:w="4621" w:type="dxa"/>
          </w:tcPr>
          <w:p w14:paraId="6EB83939">
            <w:pPr>
              <w:pStyle w:val="25"/>
              <w:spacing w:before="80"/>
              <w:ind w:left="106"/>
              <w:rPr>
                <w:color w:val="auto"/>
                <w:sz w:val="24"/>
              </w:rPr>
            </w:pPr>
            <w:r>
              <w:rPr>
                <w:color w:val="auto"/>
                <w:sz w:val="24"/>
              </w:rPr>
              <w:t>乙方：</w:t>
            </w:r>
          </w:p>
        </w:tc>
      </w:tr>
      <w:tr w14:paraId="7DB4F7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4621" w:type="dxa"/>
          </w:tcPr>
          <w:p w14:paraId="79B2D119">
            <w:pPr>
              <w:pStyle w:val="25"/>
              <w:spacing w:before="80"/>
              <w:ind w:left="107"/>
              <w:rPr>
                <w:color w:val="auto"/>
                <w:sz w:val="24"/>
              </w:rPr>
            </w:pPr>
            <w:r>
              <w:rPr>
                <w:color w:val="auto"/>
                <w:sz w:val="24"/>
              </w:rPr>
              <w:t>住所：</w:t>
            </w:r>
          </w:p>
        </w:tc>
        <w:tc>
          <w:tcPr>
            <w:tcW w:w="4621" w:type="dxa"/>
          </w:tcPr>
          <w:p w14:paraId="04B20A65">
            <w:pPr>
              <w:pStyle w:val="25"/>
              <w:spacing w:before="80"/>
              <w:ind w:left="106"/>
              <w:rPr>
                <w:color w:val="auto"/>
                <w:sz w:val="24"/>
              </w:rPr>
            </w:pPr>
            <w:r>
              <w:rPr>
                <w:color w:val="auto"/>
                <w:sz w:val="24"/>
              </w:rPr>
              <w:t>住所：</w:t>
            </w:r>
          </w:p>
        </w:tc>
      </w:tr>
      <w:tr w14:paraId="2DB6C6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4621" w:type="dxa"/>
          </w:tcPr>
          <w:p w14:paraId="189825DD">
            <w:pPr>
              <w:pStyle w:val="25"/>
              <w:spacing w:before="82"/>
              <w:ind w:left="107"/>
              <w:rPr>
                <w:color w:val="auto"/>
                <w:sz w:val="24"/>
              </w:rPr>
            </w:pPr>
            <w:r>
              <w:rPr>
                <w:color w:val="auto"/>
                <w:sz w:val="24"/>
              </w:rPr>
              <w:t>单位负责人或委托代理人：</w:t>
            </w:r>
          </w:p>
        </w:tc>
        <w:tc>
          <w:tcPr>
            <w:tcW w:w="4621" w:type="dxa"/>
          </w:tcPr>
          <w:p w14:paraId="093B4545">
            <w:pPr>
              <w:pStyle w:val="25"/>
              <w:spacing w:before="82"/>
              <w:ind w:left="106"/>
              <w:rPr>
                <w:color w:val="auto"/>
                <w:sz w:val="24"/>
              </w:rPr>
            </w:pPr>
            <w:r>
              <w:rPr>
                <w:color w:val="auto"/>
                <w:sz w:val="24"/>
              </w:rPr>
              <w:t>单位负责人或委托代理人：</w:t>
            </w:r>
          </w:p>
        </w:tc>
      </w:tr>
      <w:tr w14:paraId="0B1E3D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4621" w:type="dxa"/>
          </w:tcPr>
          <w:p w14:paraId="06B7BC78">
            <w:pPr>
              <w:pStyle w:val="25"/>
              <w:spacing w:before="82"/>
              <w:ind w:left="107"/>
              <w:rPr>
                <w:color w:val="auto"/>
                <w:sz w:val="24"/>
              </w:rPr>
            </w:pPr>
            <w:r>
              <w:rPr>
                <w:color w:val="auto"/>
                <w:sz w:val="24"/>
              </w:rPr>
              <w:t>联系方法：</w:t>
            </w:r>
          </w:p>
        </w:tc>
        <w:tc>
          <w:tcPr>
            <w:tcW w:w="4621" w:type="dxa"/>
          </w:tcPr>
          <w:p w14:paraId="1E4CB707">
            <w:pPr>
              <w:pStyle w:val="25"/>
              <w:spacing w:before="82"/>
              <w:ind w:left="106"/>
              <w:rPr>
                <w:color w:val="auto"/>
                <w:sz w:val="24"/>
              </w:rPr>
            </w:pPr>
            <w:r>
              <w:rPr>
                <w:color w:val="auto"/>
                <w:sz w:val="24"/>
              </w:rPr>
              <w:t>联系方法：</w:t>
            </w:r>
          </w:p>
        </w:tc>
      </w:tr>
      <w:tr w14:paraId="084B8D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4621" w:type="dxa"/>
          </w:tcPr>
          <w:p w14:paraId="20D0C804">
            <w:pPr>
              <w:pStyle w:val="25"/>
              <w:spacing w:before="81"/>
              <w:ind w:left="107"/>
              <w:rPr>
                <w:color w:val="auto"/>
                <w:sz w:val="24"/>
              </w:rPr>
            </w:pPr>
            <w:r>
              <w:rPr>
                <w:color w:val="auto"/>
                <w:sz w:val="24"/>
              </w:rPr>
              <w:t>开户银行：</w:t>
            </w:r>
          </w:p>
        </w:tc>
        <w:tc>
          <w:tcPr>
            <w:tcW w:w="4621" w:type="dxa"/>
          </w:tcPr>
          <w:p w14:paraId="61C1C85F">
            <w:pPr>
              <w:pStyle w:val="25"/>
              <w:spacing w:before="81"/>
              <w:ind w:left="106"/>
              <w:rPr>
                <w:color w:val="auto"/>
                <w:sz w:val="24"/>
              </w:rPr>
            </w:pPr>
            <w:r>
              <w:rPr>
                <w:color w:val="auto"/>
                <w:sz w:val="24"/>
              </w:rPr>
              <w:t>开户银行：</w:t>
            </w:r>
          </w:p>
        </w:tc>
      </w:tr>
      <w:tr w14:paraId="15F509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4621" w:type="dxa"/>
          </w:tcPr>
          <w:p w14:paraId="22A50F5D">
            <w:pPr>
              <w:pStyle w:val="25"/>
              <w:spacing w:before="81"/>
              <w:ind w:left="107"/>
              <w:rPr>
                <w:color w:val="auto"/>
                <w:sz w:val="24"/>
              </w:rPr>
            </w:pPr>
            <w:r>
              <w:rPr>
                <w:color w:val="auto"/>
                <w:sz w:val="24"/>
              </w:rPr>
              <w:t>账号：</w:t>
            </w:r>
          </w:p>
        </w:tc>
        <w:tc>
          <w:tcPr>
            <w:tcW w:w="4621" w:type="dxa"/>
          </w:tcPr>
          <w:p w14:paraId="163BD44A">
            <w:pPr>
              <w:pStyle w:val="25"/>
              <w:spacing w:before="81"/>
              <w:ind w:left="106"/>
              <w:rPr>
                <w:color w:val="auto"/>
                <w:sz w:val="24"/>
              </w:rPr>
            </w:pPr>
            <w:r>
              <w:rPr>
                <w:color w:val="auto"/>
                <w:sz w:val="24"/>
              </w:rPr>
              <w:t>账号：</w:t>
            </w:r>
          </w:p>
        </w:tc>
      </w:tr>
      <w:tr w14:paraId="2470CB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5" w:hRule="atLeast"/>
        </w:trPr>
        <w:tc>
          <w:tcPr>
            <w:tcW w:w="9242" w:type="dxa"/>
            <w:gridSpan w:val="2"/>
          </w:tcPr>
          <w:p w14:paraId="2116043B">
            <w:pPr>
              <w:pStyle w:val="25"/>
              <w:spacing w:before="81"/>
              <w:ind w:right="100"/>
              <w:jc w:val="right"/>
              <w:rPr>
                <w:color w:val="auto"/>
                <w:sz w:val="24"/>
              </w:rPr>
            </w:pPr>
            <w:r>
              <w:rPr>
                <w:color w:val="auto"/>
                <w:sz w:val="24"/>
              </w:rPr>
              <w:t>签订地点：</w:t>
            </w:r>
          </w:p>
          <w:p w14:paraId="3BA0BD58">
            <w:pPr>
              <w:pStyle w:val="25"/>
              <w:tabs>
                <w:tab w:val="left" w:pos="1679"/>
                <w:tab w:val="left" w:pos="2399"/>
                <w:tab w:val="left" w:pos="3119"/>
              </w:tabs>
              <w:spacing w:before="160"/>
              <w:ind w:right="100"/>
              <w:jc w:val="right"/>
              <w:rPr>
                <w:color w:val="auto"/>
                <w:sz w:val="24"/>
              </w:rPr>
            </w:pPr>
            <w:r>
              <w:rPr>
                <w:color w:val="auto"/>
                <w:sz w:val="24"/>
              </w:rPr>
              <w:t>签约日期：</w:t>
            </w:r>
            <w:r>
              <w:rPr>
                <w:color w:val="auto"/>
                <w:sz w:val="24"/>
                <w:u w:val="single"/>
              </w:rPr>
              <w:t xml:space="preserve"> </w:t>
            </w:r>
            <w:r>
              <w:rPr>
                <w:color w:val="auto"/>
                <w:sz w:val="24"/>
                <w:u w:val="single"/>
              </w:rPr>
              <w:tab/>
            </w:r>
            <w:r>
              <w:rPr>
                <w:color w:val="auto"/>
                <w:sz w:val="24"/>
                <w:u w:val="single"/>
              </w:rPr>
              <w:t>年</w:t>
            </w:r>
            <w:r>
              <w:rPr>
                <w:color w:val="auto"/>
                <w:sz w:val="24"/>
                <w:u w:val="single"/>
              </w:rPr>
              <w:tab/>
            </w:r>
            <w:r>
              <w:rPr>
                <w:color w:val="auto"/>
                <w:sz w:val="24"/>
                <w:u w:val="single"/>
              </w:rPr>
              <w:t>月</w:t>
            </w:r>
            <w:r>
              <w:rPr>
                <w:color w:val="auto"/>
                <w:sz w:val="24"/>
                <w:u w:val="single"/>
              </w:rPr>
              <w:tab/>
            </w:r>
            <w:r>
              <w:rPr>
                <w:color w:val="auto"/>
                <w:sz w:val="24"/>
                <w:u w:val="single"/>
              </w:rPr>
              <w:t>日</w:t>
            </w:r>
          </w:p>
        </w:tc>
      </w:tr>
    </w:tbl>
    <w:p w14:paraId="5A4D59B1">
      <w:pPr>
        <w:pStyle w:val="6"/>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3E0EC3EC">
      <w:pPr>
        <w:pStyle w:val="24"/>
        <w:numPr>
          <w:ilvl w:val="0"/>
          <w:numId w:val="76"/>
        </w:numPr>
        <w:tabs>
          <w:tab w:val="left" w:pos="884"/>
        </w:tabs>
        <w:spacing w:before="161" w:after="0" w:line="240" w:lineRule="auto"/>
        <w:ind w:left="883" w:right="0" w:hanging="183"/>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7"/>
          <w:sz w:val="24"/>
        </w:rPr>
        <w:t>招标文件接受合同分包且投标人拟将合同分包的，应提供本协议；否则无须提供。</w:t>
      </w:r>
    </w:p>
    <w:p w14:paraId="1BE0C08E">
      <w:pPr>
        <w:pStyle w:val="24"/>
        <w:numPr>
          <w:ilvl w:val="0"/>
          <w:numId w:val="76"/>
        </w:numPr>
        <w:tabs>
          <w:tab w:val="left" w:pos="884"/>
        </w:tabs>
        <w:spacing w:before="160" w:after="0" w:line="240" w:lineRule="auto"/>
        <w:ind w:left="883" w:right="0" w:hanging="183"/>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7"/>
          <w:sz w:val="24"/>
        </w:rPr>
        <w:t>本协议由委托代理人签字或盖章的，应按照本章载明的格式提供“单位授权书”。</w:t>
      </w:r>
    </w:p>
    <w:p w14:paraId="513AEC15">
      <w:pPr>
        <w:pStyle w:val="24"/>
        <w:numPr>
          <w:ilvl w:val="0"/>
          <w:numId w:val="76"/>
        </w:numPr>
        <w:tabs>
          <w:tab w:val="left" w:pos="884"/>
        </w:tabs>
        <w:spacing w:before="161" w:after="0" w:line="364"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3"/>
          <w:sz w:val="24"/>
        </w:rPr>
        <w:t>在以合同分包形式落实中小企业预留份额项目中，投标人除了要提供《中小企业</w:t>
      </w:r>
      <w:r>
        <w:rPr>
          <w:rFonts w:hint="eastAsia" w:asciiTheme="minorEastAsia" w:hAnsiTheme="minorEastAsia" w:eastAsiaTheme="minorEastAsia" w:cstheme="minorEastAsia"/>
          <w:color w:val="auto"/>
          <w:sz w:val="24"/>
        </w:rPr>
        <w:t>声明函》，还需提供本协议。</w:t>
      </w:r>
    </w:p>
    <w:p w14:paraId="6A06A7C5">
      <w:pPr>
        <w:spacing w:after="0" w:line="364" w:lineRule="auto"/>
        <w:jc w:val="left"/>
        <w:rPr>
          <w:rFonts w:hint="eastAsia" w:asciiTheme="minorEastAsia" w:hAnsiTheme="minorEastAsia" w:eastAsiaTheme="minorEastAsia" w:cstheme="minorEastAsia"/>
          <w:color w:val="auto"/>
          <w:sz w:val="24"/>
        </w:rPr>
        <w:sectPr>
          <w:pgSz w:w="11910" w:h="16840"/>
          <w:pgMar w:top="1460" w:right="860" w:bottom="1160" w:left="1220" w:header="0" w:footer="970" w:gutter="0"/>
          <w:pgNumType w:fmt="decimal"/>
          <w:cols w:space="720" w:num="1"/>
        </w:sectPr>
      </w:pPr>
    </w:p>
    <w:p w14:paraId="6526E4EE">
      <w:pPr>
        <w:pStyle w:val="4"/>
        <w:spacing w:before="42"/>
        <w:jc w:val="center"/>
        <w:rPr>
          <w:rFonts w:hint="eastAsia" w:asciiTheme="minorEastAsia" w:hAnsiTheme="minorEastAsia" w:eastAsiaTheme="minorEastAsia" w:cstheme="minorEastAsia"/>
          <w:color w:val="auto"/>
        </w:rPr>
      </w:pPr>
      <w:bookmarkStart w:id="72" w:name="二-12其他资格证明文件（若有）"/>
      <w:bookmarkEnd w:id="72"/>
      <w:r>
        <w:rPr>
          <w:rFonts w:hint="eastAsia" w:asciiTheme="minorEastAsia" w:hAnsiTheme="minorEastAsia" w:eastAsiaTheme="minorEastAsia" w:cstheme="minorEastAsia"/>
          <w:color w:val="auto"/>
        </w:rPr>
        <w:t>二-12 其他资格证明文件（若有）</w:t>
      </w:r>
    </w:p>
    <w:p w14:paraId="0A349076">
      <w:pPr>
        <w:tabs>
          <w:tab w:val="left" w:pos="10120"/>
        </w:tabs>
        <w:spacing w:before="160" w:line="364" w:lineRule="auto"/>
        <w:ind w:right="-70" w:rightChars="0"/>
        <w:jc w:val="center"/>
        <w:rPr>
          <w:rFonts w:hint="eastAsia" w:asciiTheme="minorEastAsia" w:hAnsiTheme="minorEastAsia" w:eastAsiaTheme="minorEastAsia" w:cstheme="minorEastAsia"/>
          <w:b/>
          <w:color w:val="auto"/>
          <w:sz w:val="24"/>
        </w:rPr>
      </w:pPr>
      <w:bookmarkStart w:id="73" w:name="二-12-①具备履行合同所必需设备和专业技术能力专项证明材料（若有）"/>
      <w:bookmarkEnd w:id="73"/>
      <w:r>
        <w:rPr>
          <w:rFonts w:hint="eastAsia" w:asciiTheme="minorEastAsia" w:hAnsiTheme="minorEastAsia" w:eastAsiaTheme="minorEastAsia" w:cstheme="minorEastAsia"/>
          <w:b/>
          <w:color w:val="auto"/>
          <w:sz w:val="24"/>
        </w:rPr>
        <w:t>二-12-①具备履行合同所必需设备和专业技术能力专项证明材料（若有）</w:t>
      </w:r>
    </w:p>
    <w:p w14:paraId="2FE8BB3D">
      <w:pPr>
        <w:spacing w:before="160" w:line="364" w:lineRule="auto"/>
        <w:ind w:right="80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致：</w:t>
      </w:r>
      <w:r>
        <w:rPr>
          <w:rFonts w:hint="eastAsia" w:asciiTheme="minorEastAsia" w:hAnsiTheme="minorEastAsia" w:eastAsiaTheme="minorEastAsia" w:cstheme="minorEastAsia"/>
          <w:color w:val="auto"/>
          <w:sz w:val="24"/>
          <w:u w:val="single"/>
        </w:rPr>
        <w:t>（采购人或采购代理机构）</w:t>
      </w:r>
    </w:p>
    <w:p w14:paraId="58B453B2">
      <w:pPr>
        <w:pStyle w:val="6"/>
        <w:spacing w:before="2"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3"/>
        </w:rPr>
        <w:t>现附上我方具备履行合同所必需的设备和专业技术能力的专项证明材料复印件</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17"/>
        </w:rPr>
        <w:t>具</w:t>
      </w:r>
      <w:r>
        <w:rPr>
          <w:rFonts w:hint="eastAsia" w:asciiTheme="minorEastAsia" w:hAnsiTheme="minorEastAsia" w:eastAsiaTheme="minorEastAsia" w:cstheme="minorEastAsia"/>
          <w:color w:val="auto"/>
        </w:rPr>
        <w:t>体附后），上述证明材料真实有效，否则我方负全部责任。</w:t>
      </w:r>
    </w:p>
    <w:p w14:paraId="0A9D2B23">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034BEFE9">
      <w:pPr>
        <w:pStyle w:val="6"/>
        <w:spacing w:before="160"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1、招标文件要求投标人提供“具备履行合同所必需的设备和专业技术能力专项证明材料”的，投标人应按照招标文件规定在此项下提供相应证明材料复印件。</w:t>
      </w:r>
    </w:p>
    <w:p w14:paraId="3C847728">
      <w:pPr>
        <w:pStyle w:val="6"/>
        <w:spacing w:before="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2、投标人提供的相应证明材料复印件均应符合：内容完整、清晰、整洁，并由投标人加盖其单位公章。</w:t>
      </w:r>
    </w:p>
    <w:p w14:paraId="5B8F1E25">
      <w:pPr>
        <w:pStyle w:val="6"/>
        <w:tabs>
          <w:tab w:val="left" w:pos="7566"/>
          <w:tab w:val="left" w:pos="8286"/>
          <w:tab w:val="left" w:pos="9006"/>
        </w:tabs>
        <w:spacing w:before="2"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03C84CAE">
      <w:pPr>
        <w:pStyle w:val="4"/>
        <w:spacing w:before="213"/>
        <w:ind w:left="2488"/>
        <w:rPr>
          <w:rFonts w:hint="eastAsia" w:asciiTheme="minorEastAsia" w:hAnsiTheme="minorEastAsia" w:eastAsiaTheme="minorEastAsia" w:cstheme="minorEastAsia"/>
          <w:color w:val="auto"/>
        </w:rPr>
      </w:pPr>
      <w:bookmarkStart w:id="74" w:name="二-12-②招标文件规定的其他资格证明文件（若有）"/>
      <w:bookmarkEnd w:id="74"/>
    </w:p>
    <w:p w14:paraId="411555AC">
      <w:pPr>
        <w:pStyle w:val="4"/>
        <w:spacing w:before="213"/>
        <w:ind w:left="2488"/>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二-12-②招标文件规定的其他资格证明文件（若有）</w:t>
      </w:r>
    </w:p>
    <w:p w14:paraId="60166A78">
      <w:pPr>
        <w:pStyle w:val="6"/>
        <w:spacing w:before="160"/>
        <w:ind w:left="449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编制说明</w:t>
      </w:r>
    </w:p>
    <w:p w14:paraId="3066FB6B">
      <w:pPr>
        <w:pStyle w:val="6"/>
        <w:spacing w:before="16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0"/>
        </w:rPr>
        <w:t>除招标文件另有规定外，招标文件要求提交的除前述资格证明文件外的其他资格证</w:t>
      </w:r>
      <w:r>
        <w:rPr>
          <w:rFonts w:hint="eastAsia" w:asciiTheme="minorEastAsia" w:hAnsiTheme="minorEastAsia" w:eastAsiaTheme="minorEastAsia" w:cstheme="minorEastAsia"/>
          <w:color w:val="auto"/>
        </w:rPr>
        <w:t>明文件（若有）加盖投标人的单位公章后应在此项下提交。</w:t>
      </w:r>
    </w:p>
    <w:p w14:paraId="4A0EFD31">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6A548D8E">
      <w:pPr>
        <w:spacing w:before="42" w:line="364" w:lineRule="auto"/>
        <w:ind w:left="4492" w:right="3769" w:hanging="123"/>
        <w:jc w:val="left"/>
        <w:rPr>
          <w:rFonts w:hint="eastAsia" w:asciiTheme="minorEastAsia" w:hAnsiTheme="minorEastAsia" w:eastAsiaTheme="minorEastAsia" w:cstheme="minorEastAsia"/>
          <w:color w:val="auto"/>
          <w:sz w:val="24"/>
        </w:rPr>
      </w:pPr>
      <w:bookmarkStart w:id="75" w:name="三、投标保证金"/>
      <w:bookmarkEnd w:id="75"/>
      <w:r>
        <w:rPr>
          <w:rFonts w:hint="eastAsia" w:asciiTheme="minorEastAsia" w:hAnsiTheme="minorEastAsia" w:eastAsiaTheme="minorEastAsia" w:cstheme="minorEastAsia"/>
          <w:b/>
          <w:color w:val="auto"/>
          <w:sz w:val="24"/>
        </w:rPr>
        <w:t>三、投标保证金</w:t>
      </w:r>
      <w:r>
        <w:rPr>
          <w:rFonts w:hint="eastAsia" w:asciiTheme="minorEastAsia" w:hAnsiTheme="minorEastAsia" w:eastAsiaTheme="minorEastAsia" w:cstheme="minorEastAsia"/>
          <w:color w:val="auto"/>
          <w:sz w:val="24"/>
        </w:rPr>
        <w:t>编制说明</w:t>
      </w:r>
    </w:p>
    <w:p w14:paraId="4BA16058">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
        </w:rPr>
        <w:t>1、在此项下提交的“投标保证金”材料可使用转账凭证复印件。</w:t>
      </w:r>
    </w:p>
    <w:p w14:paraId="02A68C86">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
        </w:rPr>
        <w:t>2、投标保证金是否已提交的认定按照招标文件第三章规定执行。</w:t>
      </w:r>
    </w:p>
    <w:p w14:paraId="24A8C814">
      <w:pPr>
        <w:spacing w:after="0"/>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5199A677">
      <w:pPr>
        <w:pStyle w:val="3"/>
        <w:ind w:right="748"/>
        <w:rPr>
          <w:rFonts w:hint="eastAsia" w:asciiTheme="minorEastAsia" w:hAnsiTheme="minorEastAsia" w:eastAsiaTheme="minorEastAsia" w:cstheme="minorEastAsia"/>
          <w:color w:val="auto"/>
        </w:rPr>
      </w:pPr>
      <w:bookmarkStart w:id="76" w:name="封面格式"/>
      <w:bookmarkEnd w:id="76"/>
      <w:r>
        <w:rPr>
          <w:rFonts w:hint="eastAsia" w:asciiTheme="minorEastAsia" w:hAnsiTheme="minorEastAsia" w:eastAsiaTheme="minorEastAsia" w:cstheme="minorEastAsia"/>
          <w:color w:val="auto"/>
        </w:rPr>
        <w:t>封面格式</w:t>
      </w:r>
    </w:p>
    <w:p w14:paraId="1165431D">
      <w:pPr>
        <w:spacing w:before="0"/>
        <w:ind w:left="1343" w:right="746" w:firstLine="0"/>
        <w:jc w:val="center"/>
        <w:rPr>
          <w:rFonts w:hint="eastAsia" w:asciiTheme="minorEastAsia" w:hAnsiTheme="minorEastAsia" w:eastAsiaTheme="minorEastAsia" w:cstheme="minorEastAsia"/>
          <w:b/>
          <w:color w:val="auto"/>
          <w:sz w:val="32"/>
        </w:rPr>
      </w:pPr>
      <w:bookmarkStart w:id="77" w:name="福建省政府采购投标文件"/>
      <w:bookmarkEnd w:id="77"/>
    </w:p>
    <w:p w14:paraId="0639DCD8">
      <w:pPr>
        <w:spacing w:before="0"/>
        <w:ind w:left="1343" w:right="746"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sz w:val="32"/>
        </w:rPr>
        <w:t>福建省</w:t>
      </w:r>
      <w:r>
        <w:rPr>
          <w:rFonts w:hint="eastAsia" w:asciiTheme="minorEastAsia" w:hAnsiTheme="minorEastAsia" w:eastAsiaTheme="minorEastAsia" w:cstheme="minorEastAsia"/>
          <w:b/>
          <w:color w:val="auto"/>
          <w:sz w:val="32"/>
          <w:lang w:eastAsia="zh-CN"/>
        </w:rPr>
        <w:t>企业采购</w:t>
      </w:r>
      <w:r>
        <w:rPr>
          <w:rFonts w:hint="eastAsia" w:asciiTheme="minorEastAsia" w:hAnsiTheme="minorEastAsia" w:eastAsiaTheme="minorEastAsia" w:cstheme="minorEastAsia"/>
          <w:b/>
          <w:color w:val="auto"/>
          <w:sz w:val="32"/>
        </w:rPr>
        <w:t>投标文件</w:t>
      </w:r>
    </w:p>
    <w:p w14:paraId="7B689D55">
      <w:pPr>
        <w:spacing w:before="214"/>
        <w:ind w:left="1343" w:right="746" w:firstLine="0"/>
        <w:jc w:val="center"/>
        <w:rPr>
          <w:rFonts w:hint="eastAsia" w:asciiTheme="minorEastAsia" w:hAnsiTheme="minorEastAsia" w:eastAsiaTheme="minorEastAsia" w:cstheme="minorEastAsia"/>
          <w:b/>
          <w:color w:val="auto"/>
          <w:sz w:val="32"/>
        </w:rPr>
      </w:pPr>
      <w:bookmarkStart w:id="78" w:name="（报价部分）"/>
      <w:bookmarkEnd w:id="78"/>
    </w:p>
    <w:p w14:paraId="23C282CA">
      <w:pPr>
        <w:spacing w:before="214"/>
        <w:ind w:left="1343" w:right="746"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sz w:val="32"/>
        </w:rPr>
        <w:t>（报价部分）</w:t>
      </w:r>
    </w:p>
    <w:p w14:paraId="08079C16">
      <w:pPr>
        <w:spacing w:before="0"/>
        <w:ind w:left="1343" w:right="746" w:firstLine="0"/>
        <w:jc w:val="center"/>
        <w:rPr>
          <w:rFonts w:hint="eastAsia" w:asciiTheme="minorEastAsia" w:hAnsiTheme="minorEastAsia" w:eastAsiaTheme="minorEastAsia" w:cstheme="minorEastAsia"/>
          <w:b/>
          <w:color w:val="auto"/>
          <w:sz w:val="32"/>
        </w:rPr>
      </w:pPr>
      <w:bookmarkStart w:id="79" w:name="（填写正本或副本）"/>
      <w:bookmarkEnd w:id="79"/>
    </w:p>
    <w:p w14:paraId="7156DA9C">
      <w:pPr>
        <w:spacing w:before="0"/>
        <w:ind w:left="1343" w:right="746" w:firstLine="0"/>
        <w:jc w:val="center"/>
        <w:rPr>
          <w:rFonts w:hint="eastAsia" w:asciiTheme="minorEastAsia" w:hAnsiTheme="minorEastAsia" w:eastAsiaTheme="minorEastAsia" w:cstheme="minorEastAsia"/>
          <w:b/>
          <w:color w:val="auto"/>
          <w:sz w:val="32"/>
        </w:rPr>
      </w:pPr>
    </w:p>
    <w:p w14:paraId="044F70F2">
      <w:pPr>
        <w:spacing w:before="0"/>
        <w:ind w:left="1343" w:right="746"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sz w:val="32"/>
        </w:rPr>
        <w:t>（填写正本或副本）</w:t>
      </w:r>
    </w:p>
    <w:p w14:paraId="44B4151C">
      <w:pPr>
        <w:spacing w:before="250"/>
        <w:ind w:left="1343" w:right="748" w:firstLine="0"/>
        <w:jc w:val="center"/>
        <w:rPr>
          <w:rFonts w:hint="eastAsia" w:asciiTheme="minorEastAsia" w:hAnsiTheme="minorEastAsia" w:eastAsiaTheme="minorEastAsia" w:cstheme="minorEastAsia"/>
          <w:b/>
          <w:color w:val="auto"/>
          <w:w w:val="95"/>
          <w:sz w:val="32"/>
        </w:rPr>
      </w:pPr>
      <w:bookmarkStart w:id="80" w:name="（项目名称：（由投标人填写）"/>
      <w:bookmarkEnd w:id="80"/>
    </w:p>
    <w:p w14:paraId="15B203DF">
      <w:pPr>
        <w:spacing w:before="250"/>
        <w:ind w:left="1343" w:right="748" w:firstLine="0"/>
        <w:jc w:val="center"/>
        <w:rPr>
          <w:rFonts w:hint="eastAsia" w:asciiTheme="minorEastAsia" w:hAnsiTheme="minorEastAsia" w:eastAsiaTheme="minorEastAsia" w:cstheme="minorEastAsia"/>
          <w:b/>
          <w:color w:val="auto"/>
          <w:w w:val="95"/>
          <w:sz w:val="32"/>
        </w:rPr>
      </w:pPr>
    </w:p>
    <w:p w14:paraId="52F06F8E">
      <w:pPr>
        <w:spacing w:before="250"/>
        <w:ind w:left="1343" w:right="748"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w w:val="95"/>
          <w:sz w:val="32"/>
        </w:rPr>
        <w:t>（项目名称：（由投标人填写）</w:t>
      </w:r>
    </w:p>
    <w:p w14:paraId="7EAD4BB1">
      <w:pPr>
        <w:spacing w:before="214"/>
        <w:ind w:left="1343" w:right="748" w:firstLine="0"/>
        <w:jc w:val="center"/>
        <w:rPr>
          <w:rFonts w:hint="eastAsia" w:asciiTheme="minorEastAsia" w:hAnsiTheme="minorEastAsia" w:eastAsiaTheme="minorEastAsia" w:cstheme="minorEastAsia"/>
          <w:b/>
          <w:color w:val="auto"/>
          <w:sz w:val="32"/>
        </w:rPr>
      </w:pPr>
      <w:bookmarkStart w:id="81" w:name="（备案编号：（由投标人填写）"/>
      <w:bookmarkEnd w:id="81"/>
      <w:r>
        <w:rPr>
          <w:rFonts w:hint="eastAsia" w:asciiTheme="minorEastAsia" w:hAnsiTheme="minorEastAsia" w:eastAsiaTheme="minorEastAsia" w:cstheme="minorEastAsia"/>
          <w:b/>
          <w:color w:val="auto"/>
          <w:w w:val="95"/>
          <w:sz w:val="32"/>
        </w:rPr>
        <w:t>（备案编号：（由投标人填写）</w:t>
      </w:r>
    </w:p>
    <w:p w14:paraId="565311BD">
      <w:pPr>
        <w:spacing w:before="214"/>
        <w:ind w:left="1343" w:right="748" w:firstLine="0"/>
        <w:jc w:val="center"/>
        <w:rPr>
          <w:rFonts w:hint="eastAsia" w:asciiTheme="minorEastAsia" w:hAnsiTheme="minorEastAsia" w:eastAsiaTheme="minorEastAsia" w:cstheme="minorEastAsia"/>
          <w:b/>
          <w:color w:val="auto"/>
          <w:sz w:val="32"/>
        </w:rPr>
      </w:pPr>
      <w:bookmarkStart w:id="82" w:name="（项目编号：（由投标人填写）"/>
      <w:bookmarkEnd w:id="82"/>
      <w:r>
        <w:rPr>
          <w:rFonts w:hint="eastAsia" w:asciiTheme="minorEastAsia" w:hAnsiTheme="minorEastAsia" w:eastAsiaTheme="minorEastAsia" w:cstheme="minorEastAsia"/>
          <w:b/>
          <w:color w:val="auto"/>
          <w:w w:val="95"/>
          <w:sz w:val="32"/>
        </w:rPr>
        <w:t>（项目编号：（由投标人填写）</w:t>
      </w:r>
    </w:p>
    <w:p w14:paraId="4B1F691B">
      <w:pPr>
        <w:spacing w:before="214"/>
        <w:ind w:left="1343" w:right="748" w:firstLine="0"/>
        <w:jc w:val="center"/>
        <w:rPr>
          <w:rFonts w:hint="eastAsia" w:asciiTheme="minorEastAsia" w:hAnsiTheme="minorEastAsia" w:eastAsiaTheme="minorEastAsia" w:cstheme="minorEastAsia"/>
          <w:b/>
          <w:color w:val="auto"/>
          <w:sz w:val="32"/>
        </w:rPr>
      </w:pPr>
      <w:bookmarkStart w:id="83" w:name="（所投采购包：（由投标人填写）"/>
      <w:bookmarkEnd w:id="83"/>
    </w:p>
    <w:p w14:paraId="309E0D32">
      <w:pPr>
        <w:spacing w:before="214"/>
        <w:ind w:left="1343" w:right="748" w:firstLine="0"/>
        <w:jc w:val="center"/>
        <w:rPr>
          <w:rFonts w:hint="eastAsia" w:asciiTheme="minorEastAsia" w:hAnsiTheme="minorEastAsia" w:eastAsiaTheme="minorEastAsia" w:cstheme="minorEastAsia"/>
          <w:b/>
          <w:color w:val="auto"/>
          <w:sz w:val="32"/>
        </w:rPr>
      </w:pPr>
    </w:p>
    <w:p w14:paraId="23CB2810">
      <w:pPr>
        <w:spacing w:before="214"/>
        <w:ind w:left="1343" w:right="748"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sz w:val="32"/>
        </w:rPr>
        <w:t>（所投采购包：（由投标人填写）</w:t>
      </w:r>
    </w:p>
    <w:p w14:paraId="6E1FC5B1">
      <w:pPr>
        <w:spacing w:before="232"/>
        <w:ind w:left="1343" w:right="748" w:firstLine="0"/>
        <w:jc w:val="center"/>
        <w:rPr>
          <w:rFonts w:hint="eastAsia" w:asciiTheme="minorEastAsia" w:hAnsiTheme="minorEastAsia" w:eastAsiaTheme="minorEastAsia" w:cstheme="minorEastAsia"/>
          <w:b/>
          <w:color w:val="auto"/>
          <w:sz w:val="32"/>
        </w:rPr>
      </w:pPr>
      <w:bookmarkStart w:id="84" w:name="投标人：（填写“全称”）"/>
      <w:bookmarkEnd w:id="84"/>
    </w:p>
    <w:p w14:paraId="2850244C">
      <w:pPr>
        <w:spacing w:before="232"/>
        <w:ind w:left="1343" w:right="748" w:firstLine="0"/>
        <w:jc w:val="center"/>
        <w:rPr>
          <w:rFonts w:hint="eastAsia" w:asciiTheme="minorEastAsia" w:hAnsiTheme="minorEastAsia" w:eastAsiaTheme="minorEastAsia" w:cstheme="minorEastAsia"/>
          <w:b/>
          <w:color w:val="auto"/>
          <w:sz w:val="32"/>
        </w:rPr>
      </w:pPr>
    </w:p>
    <w:p w14:paraId="270BE27A">
      <w:pPr>
        <w:spacing w:before="232"/>
        <w:ind w:left="1343" w:right="748" w:firstLine="0"/>
        <w:jc w:val="center"/>
        <w:rPr>
          <w:rFonts w:hint="eastAsia" w:asciiTheme="minorEastAsia" w:hAnsiTheme="minorEastAsia" w:eastAsiaTheme="minorEastAsia" w:cstheme="minorEastAsia"/>
          <w:b/>
          <w:color w:val="auto"/>
          <w:sz w:val="32"/>
        </w:rPr>
      </w:pPr>
    </w:p>
    <w:p w14:paraId="1986A11B">
      <w:pPr>
        <w:spacing w:before="232"/>
        <w:ind w:left="1343" w:right="748" w:firstLine="0"/>
        <w:jc w:val="center"/>
        <w:rPr>
          <w:rFonts w:hint="eastAsia" w:asciiTheme="minorEastAsia" w:hAnsiTheme="minorEastAsia" w:eastAsiaTheme="minorEastAsia" w:cstheme="minorEastAsia"/>
          <w:b/>
          <w:color w:val="auto"/>
          <w:sz w:val="32"/>
        </w:rPr>
      </w:pPr>
      <w:r>
        <w:rPr>
          <w:rFonts w:hint="eastAsia" w:asciiTheme="minorEastAsia" w:hAnsiTheme="minorEastAsia" w:eastAsiaTheme="minorEastAsia" w:cstheme="minorEastAsia"/>
          <w:b/>
          <w:color w:val="auto"/>
          <w:sz w:val="32"/>
        </w:rPr>
        <w:t>投标人：（填写“全称”）</w:t>
      </w:r>
    </w:p>
    <w:p w14:paraId="62AC0DBD">
      <w:pPr>
        <w:spacing w:before="214"/>
        <w:ind w:left="1338" w:right="743" w:firstLine="0"/>
        <w:jc w:val="center"/>
        <w:rPr>
          <w:rFonts w:hint="eastAsia" w:asciiTheme="minorEastAsia" w:hAnsiTheme="minorEastAsia" w:eastAsiaTheme="minorEastAsia" w:cstheme="minorEastAsia"/>
          <w:b/>
          <w:color w:val="auto"/>
          <w:sz w:val="32"/>
        </w:rPr>
      </w:pPr>
      <w:bookmarkStart w:id="85" w:name="（由投标人填写）年（由投标人填写）月"/>
      <w:bookmarkEnd w:id="85"/>
      <w:r>
        <w:rPr>
          <w:rFonts w:hint="eastAsia" w:asciiTheme="minorEastAsia" w:hAnsiTheme="minorEastAsia" w:eastAsiaTheme="minorEastAsia" w:cstheme="minorEastAsia"/>
          <w:b/>
          <w:color w:val="auto"/>
          <w:sz w:val="32"/>
        </w:rPr>
        <w:t>（由投标人填写）年（由投标人填写）月</w:t>
      </w:r>
    </w:p>
    <w:p w14:paraId="4FFE31A7">
      <w:pPr>
        <w:spacing w:after="0"/>
        <w:jc w:val="center"/>
        <w:rPr>
          <w:rFonts w:hint="eastAsia" w:asciiTheme="minorEastAsia" w:hAnsiTheme="minorEastAsia" w:eastAsiaTheme="minorEastAsia" w:cstheme="minorEastAsia"/>
          <w:color w:val="auto"/>
          <w:sz w:val="32"/>
        </w:rPr>
        <w:sectPr>
          <w:pgSz w:w="11910" w:h="16840"/>
          <w:pgMar w:top="1500" w:right="860" w:bottom="1160" w:left="1220" w:header="0" w:footer="970" w:gutter="0"/>
          <w:pgNumType w:fmt="decimal"/>
          <w:cols w:space="720" w:num="1"/>
        </w:sectPr>
      </w:pPr>
    </w:p>
    <w:p w14:paraId="37EF8041">
      <w:pPr>
        <w:pStyle w:val="4"/>
        <w:spacing w:before="42"/>
        <w:ind w:left="1343" w:right="745"/>
        <w:jc w:val="center"/>
        <w:rPr>
          <w:rFonts w:hint="eastAsia" w:asciiTheme="minorEastAsia" w:hAnsiTheme="minorEastAsia" w:eastAsiaTheme="minorEastAsia" w:cstheme="minorEastAsia"/>
          <w:color w:val="auto"/>
        </w:rPr>
      </w:pPr>
      <w:bookmarkStart w:id="86" w:name="索引"/>
      <w:bookmarkEnd w:id="86"/>
      <w:r>
        <w:rPr>
          <w:rFonts w:hint="eastAsia" w:asciiTheme="minorEastAsia" w:hAnsiTheme="minorEastAsia" w:eastAsiaTheme="minorEastAsia" w:cstheme="minorEastAsia"/>
          <w:color w:val="auto"/>
        </w:rPr>
        <w:t>索引</w:t>
      </w:r>
    </w:p>
    <w:p w14:paraId="5FDD6023">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一、开标一览表</w:t>
      </w:r>
    </w:p>
    <w:p w14:paraId="652BA9BA">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二、投标分项报价表</w:t>
      </w:r>
    </w:p>
    <w:p w14:paraId="63FDBCA9">
      <w:pPr>
        <w:pStyle w:val="6"/>
        <w:spacing w:before="160" w:line="364" w:lineRule="auto"/>
        <w:ind w:left="700" w:right="408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三、招标文件规定的价格扣除证明材料（若有） 四、招标文件规定的加分证明材料（若有）</w:t>
      </w:r>
    </w:p>
    <w:p w14:paraId="154A9CEC">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3191AAE8">
      <w:pPr>
        <w:pStyle w:val="6"/>
        <w:tabs>
          <w:tab w:val="left" w:pos="3879"/>
        </w:tabs>
        <w:spacing w:before="177"/>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项目编号：</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p>
    <w:p w14:paraId="7245C9FA">
      <w:pPr>
        <w:pStyle w:val="4"/>
        <w:spacing w:before="42"/>
        <w:ind w:left="44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val="0"/>
          <w:color w:val="auto"/>
        </w:rPr>
        <w:br w:type="column"/>
      </w:r>
      <w:bookmarkStart w:id="87" w:name="一、开标一览表"/>
      <w:bookmarkEnd w:id="87"/>
      <w:r>
        <w:rPr>
          <w:rFonts w:hint="eastAsia" w:asciiTheme="minorEastAsia" w:hAnsiTheme="minorEastAsia" w:eastAsiaTheme="minorEastAsia" w:cstheme="minorEastAsia"/>
          <w:color w:val="auto"/>
        </w:rPr>
        <w:t>一、开标一览表</w:t>
      </w:r>
    </w:p>
    <w:p w14:paraId="31DB8B08">
      <w:pPr>
        <w:pStyle w:val="6"/>
        <w:ind w:left="0"/>
        <w:rPr>
          <w:rFonts w:hint="eastAsia" w:asciiTheme="minorEastAsia" w:hAnsiTheme="minorEastAsia" w:eastAsiaTheme="minorEastAsia" w:cstheme="minorEastAsia"/>
          <w:b/>
          <w:color w:val="auto"/>
        </w:rPr>
      </w:pPr>
      <w:r>
        <w:rPr>
          <w:rFonts w:hint="eastAsia" w:asciiTheme="minorEastAsia" w:hAnsiTheme="minorEastAsia" w:eastAsiaTheme="minorEastAsia" w:cstheme="minorEastAsia"/>
          <w:color w:val="auto"/>
        </w:rPr>
        <w:br w:type="column"/>
      </w:r>
    </w:p>
    <w:p w14:paraId="08E234EE">
      <w:pPr>
        <w:pStyle w:val="6"/>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货币及单位：人民币元</w:t>
      </w:r>
    </w:p>
    <w:p w14:paraId="58C83ADF">
      <w:pPr>
        <w:spacing w:after="0"/>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equalWidth="0" w:num="3">
            <w:col w:w="3880" w:space="40"/>
            <w:col w:w="2175" w:space="51"/>
            <w:col w:w="3684"/>
          </w:cols>
        </w:sectPr>
      </w:pPr>
    </w:p>
    <w:tbl>
      <w:tblPr>
        <w:tblStyle w:val="18"/>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33"/>
        <w:gridCol w:w="3182"/>
        <w:gridCol w:w="1676"/>
        <w:gridCol w:w="2944"/>
      </w:tblGrid>
      <w:tr w14:paraId="516CF1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433" w:type="dxa"/>
          </w:tcPr>
          <w:p w14:paraId="539EA1A8">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采购包</w:t>
            </w:r>
          </w:p>
        </w:tc>
        <w:tc>
          <w:tcPr>
            <w:tcW w:w="3182" w:type="dxa"/>
          </w:tcPr>
          <w:p w14:paraId="1944BB70">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投标报价</w:t>
            </w:r>
          </w:p>
        </w:tc>
        <w:tc>
          <w:tcPr>
            <w:tcW w:w="1676" w:type="dxa"/>
          </w:tcPr>
          <w:p w14:paraId="0A7CF1BA">
            <w:pPr>
              <w:pStyle w:val="25"/>
              <w:spacing w:before="80"/>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投标保证金</w:t>
            </w:r>
          </w:p>
        </w:tc>
        <w:tc>
          <w:tcPr>
            <w:tcW w:w="2944" w:type="dxa"/>
          </w:tcPr>
          <w:p w14:paraId="059DD3C0">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备注</w:t>
            </w:r>
          </w:p>
        </w:tc>
      </w:tr>
      <w:tr w14:paraId="3A8419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433" w:type="dxa"/>
          </w:tcPr>
          <w:p w14:paraId="398B15DE">
            <w:pPr>
              <w:pStyle w:val="25"/>
              <w:spacing w:before="89"/>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3182" w:type="dxa"/>
          </w:tcPr>
          <w:p w14:paraId="3BD7BCC2">
            <w:pPr>
              <w:pStyle w:val="25"/>
              <w:tabs>
                <w:tab w:val="left" w:pos="3133"/>
              </w:tabs>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投</w:t>
            </w:r>
            <w:r>
              <w:rPr>
                <w:rFonts w:hint="eastAsia" w:asciiTheme="minorEastAsia" w:hAnsiTheme="minorEastAsia" w:eastAsiaTheme="minorEastAsia" w:cstheme="minorEastAsia"/>
                <w:color w:val="auto"/>
                <w:sz w:val="24"/>
              </w:rPr>
              <w:t>标总价（大写金额）：</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rPr>
              <w:tab/>
            </w:r>
          </w:p>
        </w:tc>
        <w:tc>
          <w:tcPr>
            <w:tcW w:w="1676" w:type="dxa"/>
          </w:tcPr>
          <w:p w14:paraId="0A77F164">
            <w:pPr>
              <w:pStyle w:val="25"/>
              <w:rPr>
                <w:rFonts w:hint="eastAsia" w:asciiTheme="minorEastAsia" w:hAnsiTheme="minorEastAsia" w:eastAsiaTheme="minorEastAsia" w:cstheme="minorEastAsia"/>
                <w:color w:val="auto"/>
                <w:sz w:val="22"/>
              </w:rPr>
            </w:pPr>
          </w:p>
        </w:tc>
        <w:tc>
          <w:tcPr>
            <w:tcW w:w="2944" w:type="dxa"/>
            <w:vMerge w:val="restart"/>
          </w:tcPr>
          <w:p w14:paraId="442223BB">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a.&gt;投标报价的明细：详见</w:t>
            </w:r>
          </w:p>
          <w:p w14:paraId="7F409571">
            <w:pPr>
              <w:pStyle w:val="25"/>
              <w:spacing w:before="75"/>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《投标分项报价表》。b.&gt;招标文件规定的价格扣</w:t>
            </w:r>
          </w:p>
          <w:p w14:paraId="7129BCAE">
            <w:pPr>
              <w:pStyle w:val="25"/>
              <w:spacing w:before="64"/>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除证明材料（若有）：详</w:t>
            </w:r>
          </w:p>
          <w:p w14:paraId="539C4D48">
            <w:pPr>
              <w:pStyle w:val="25"/>
              <w:spacing w:before="77"/>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见报价部分。</w:t>
            </w:r>
          </w:p>
        </w:tc>
      </w:tr>
      <w:tr w14:paraId="2E6E45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433" w:type="dxa"/>
            <w:tcBorders>
              <w:bottom w:val="nil"/>
            </w:tcBorders>
          </w:tcPr>
          <w:p w14:paraId="085010F2">
            <w:pPr>
              <w:pStyle w:val="25"/>
              <w:spacing w:before="82"/>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3182" w:type="dxa"/>
            <w:tcBorders>
              <w:bottom w:val="nil"/>
            </w:tcBorders>
          </w:tcPr>
          <w:p w14:paraId="21F4D666">
            <w:pPr>
              <w:pStyle w:val="25"/>
              <w:tabs>
                <w:tab w:val="left" w:pos="3133"/>
              </w:tabs>
              <w:spacing w:before="82"/>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投</w:t>
            </w:r>
            <w:r>
              <w:rPr>
                <w:rFonts w:hint="eastAsia" w:asciiTheme="minorEastAsia" w:hAnsiTheme="minorEastAsia" w:eastAsiaTheme="minorEastAsia" w:cstheme="minorEastAsia"/>
                <w:color w:val="auto"/>
                <w:sz w:val="24"/>
              </w:rPr>
              <w:t>标总价（大写金额）：</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rPr>
              <w:tab/>
            </w:r>
          </w:p>
        </w:tc>
        <w:tc>
          <w:tcPr>
            <w:tcW w:w="1676" w:type="dxa"/>
            <w:vMerge w:val="restart"/>
          </w:tcPr>
          <w:p w14:paraId="6F9DD43B">
            <w:pPr>
              <w:pStyle w:val="25"/>
              <w:rPr>
                <w:rFonts w:hint="eastAsia" w:asciiTheme="minorEastAsia" w:hAnsiTheme="minorEastAsia" w:eastAsiaTheme="minorEastAsia" w:cstheme="minorEastAsia"/>
                <w:color w:val="auto"/>
                <w:sz w:val="22"/>
              </w:rPr>
            </w:pPr>
          </w:p>
        </w:tc>
        <w:tc>
          <w:tcPr>
            <w:tcW w:w="2944" w:type="dxa"/>
            <w:vMerge w:val="continue"/>
          </w:tcPr>
          <w:p w14:paraId="0CABC1F8">
            <w:pPr>
              <w:pStyle w:val="25"/>
              <w:spacing w:before="75"/>
              <w:ind w:left="107"/>
              <w:rPr>
                <w:rFonts w:hint="eastAsia" w:asciiTheme="minorEastAsia" w:hAnsiTheme="minorEastAsia" w:eastAsiaTheme="minorEastAsia" w:cstheme="minorEastAsia"/>
                <w:color w:val="auto"/>
                <w:sz w:val="24"/>
              </w:rPr>
            </w:pPr>
          </w:p>
        </w:tc>
      </w:tr>
      <w:tr w14:paraId="16B18E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433" w:type="dxa"/>
            <w:tcBorders>
              <w:top w:val="nil"/>
              <w:bottom w:val="nil"/>
            </w:tcBorders>
          </w:tcPr>
          <w:p w14:paraId="239A3F4C">
            <w:pPr>
              <w:pStyle w:val="25"/>
              <w:rPr>
                <w:rFonts w:hint="eastAsia" w:asciiTheme="minorEastAsia" w:hAnsiTheme="minorEastAsia" w:eastAsiaTheme="minorEastAsia" w:cstheme="minorEastAsia"/>
                <w:color w:val="auto"/>
                <w:sz w:val="22"/>
              </w:rPr>
            </w:pPr>
          </w:p>
        </w:tc>
        <w:tc>
          <w:tcPr>
            <w:tcW w:w="3182" w:type="dxa"/>
            <w:tcBorders>
              <w:top w:val="nil"/>
              <w:bottom w:val="nil"/>
            </w:tcBorders>
          </w:tcPr>
          <w:p w14:paraId="7B136DA1">
            <w:pPr>
              <w:pStyle w:val="25"/>
              <w:rPr>
                <w:rFonts w:hint="eastAsia" w:asciiTheme="minorEastAsia" w:hAnsiTheme="minorEastAsia" w:eastAsiaTheme="minorEastAsia" w:cstheme="minorEastAsia"/>
                <w:color w:val="auto"/>
                <w:sz w:val="22"/>
              </w:rPr>
            </w:pPr>
          </w:p>
        </w:tc>
        <w:tc>
          <w:tcPr>
            <w:tcW w:w="1676" w:type="dxa"/>
            <w:vMerge w:val="continue"/>
            <w:tcBorders>
              <w:top w:val="nil"/>
            </w:tcBorders>
          </w:tcPr>
          <w:p w14:paraId="550C1723">
            <w:pPr>
              <w:rPr>
                <w:rFonts w:hint="eastAsia" w:asciiTheme="minorEastAsia" w:hAnsiTheme="minorEastAsia" w:eastAsiaTheme="minorEastAsia" w:cstheme="minorEastAsia"/>
                <w:color w:val="auto"/>
                <w:sz w:val="2"/>
                <w:szCs w:val="2"/>
              </w:rPr>
            </w:pPr>
          </w:p>
        </w:tc>
        <w:tc>
          <w:tcPr>
            <w:tcW w:w="2944" w:type="dxa"/>
            <w:vMerge w:val="continue"/>
          </w:tcPr>
          <w:p w14:paraId="1C83DC73">
            <w:pPr>
              <w:pStyle w:val="25"/>
              <w:spacing w:before="65"/>
              <w:ind w:left="107"/>
              <w:rPr>
                <w:rFonts w:hint="eastAsia" w:asciiTheme="minorEastAsia" w:hAnsiTheme="minorEastAsia" w:eastAsiaTheme="minorEastAsia" w:cstheme="minorEastAsia"/>
                <w:color w:val="auto"/>
                <w:sz w:val="24"/>
              </w:rPr>
            </w:pPr>
          </w:p>
        </w:tc>
      </w:tr>
      <w:tr w14:paraId="7F43ED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1433" w:type="dxa"/>
            <w:tcBorders>
              <w:top w:val="nil"/>
              <w:bottom w:val="nil"/>
            </w:tcBorders>
          </w:tcPr>
          <w:p w14:paraId="5FE56A6A">
            <w:pPr>
              <w:pStyle w:val="25"/>
              <w:rPr>
                <w:rFonts w:hint="eastAsia" w:asciiTheme="minorEastAsia" w:hAnsiTheme="minorEastAsia" w:eastAsiaTheme="minorEastAsia" w:cstheme="minorEastAsia"/>
                <w:color w:val="auto"/>
                <w:sz w:val="22"/>
              </w:rPr>
            </w:pPr>
          </w:p>
        </w:tc>
        <w:tc>
          <w:tcPr>
            <w:tcW w:w="3182" w:type="dxa"/>
            <w:tcBorders>
              <w:top w:val="nil"/>
              <w:bottom w:val="nil"/>
            </w:tcBorders>
          </w:tcPr>
          <w:p w14:paraId="32C29AB1">
            <w:pPr>
              <w:pStyle w:val="25"/>
              <w:rPr>
                <w:rFonts w:hint="eastAsia" w:asciiTheme="minorEastAsia" w:hAnsiTheme="minorEastAsia" w:eastAsiaTheme="minorEastAsia" w:cstheme="minorEastAsia"/>
                <w:color w:val="auto"/>
                <w:sz w:val="22"/>
              </w:rPr>
            </w:pPr>
          </w:p>
        </w:tc>
        <w:tc>
          <w:tcPr>
            <w:tcW w:w="1676" w:type="dxa"/>
            <w:vMerge w:val="continue"/>
            <w:tcBorders>
              <w:top w:val="nil"/>
            </w:tcBorders>
          </w:tcPr>
          <w:p w14:paraId="2A90BD55">
            <w:pPr>
              <w:rPr>
                <w:rFonts w:hint="eastAsia" w:asciiTheme="minorEastAsia" w:hAnsiTheme="minorEastAsia" w:eastAsiaTheme="minorEastAsia" w:cstheme="minorEastAsia"/>
                <w:color w:val="auto"/>
                <w:sz w:val="2"/>
                <w:szCs w:val="2"/>
              </w:rPr>
            </w:pPr>
          </w:p>
        </w:tc>
        <w:tc>
          <w:tcPr>
            <w:tcW w:w="2944" w:type="dxa"/>
            <w:vMerge w:val="continue"/>
          </w:tcPr>
          <w:p w14:paraId="5A0E7E48">
            <w:pPr>
              <w:pStyle w:val="25"/>
              <w:spacing w:before="64"/>
              <w:ind w:left="107"/>
              <w:rPr>
                <w:rFonts w:hint="eastAsia" w:asciiTheme="minorEastAsia" w:hAnsiTheme="minorEastAsia" w:eastAsiaTheme="minorEastAsia" w:cstheme="minorEastAsia"/>
                <w:color w:val="auto"/>
                <w:sz w:val="24"/>
              </w:rPr>
            </w:pPr>
          </w:p>
        </w:tc>
      </w:tr>
      <w:tr w14:paraId="0828BB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5" w:hRule="atLeast"/>
        </w:trPr>
        <w:tc>
          <w:tcPr>
            <w:tcW w:w="1433" w:type="dxa"/>
            <w:tcBorders>
              <w:top w:val="nil"/>
            </w:tcBorders>
          </w:tcPr>
          <w:p w14:paraId="2D052795">
            <w:pPr>
              <w:pStyle w:val="25"/>
              <w:rPr>
                <w:rFonts w:hint="eastAsia" w:asciiTheme="minorEastAsia" w:hAnsiTheme="minorEastAsia" w:eastAsiaTheme="minorEastAsia" w:cstheme="minorEastAsia"/>
                <w:color w:val="auto"/>
                <w:sz w:val="22"/>
              </w:rPr>
            </w:pPr>
          </w:p>
        </w:tc>
        <w:tc>
          <w:tcPr>
            <w:tcW w:w="3182" w:type="dxa"/>
            <w:tcBorders>
              <w:top w:val="nil"/>
            </w:tcBorders>
          </w:tcPr>
          <w:p w14:paraId="78249E28">
            <w:pPr>
              <w:pStyle w:val="25"/>
              <w:rPr>
                <w:rFonts w:hint="eastAsia" w:asciiTheme="minorEastAsia" w:hAnsiTheme="minorEastAsia" w:eastAsiaTheme="minorEastAsia" w:cstheme="minorEastAsia"/>
                <w:color w:val="auto"/>
                <w:sz w:val="22"/>
              </w:rPr>
            </w:pPr>
          </w:p>
        </w:tc>
        <w:tc>
          <w:tcPr>
            <w:tcW w:w="1676" w:type="dxa"/>
            <w:vMerge w:val="continue"/>
            <w:tcBorders>
              <w:top w:val="nil"/>
            </w:tcBorders>
          </w:tcPr>
          <w:p w14:paraId="76F1D3BE">
            <w:pPr>
              <w:rPr>
                <w:rFonts w:hint="eastAsia" w:asciiTheme="minorEastAsia" w:hAnsiTheme="minorEastAsia" w:eastAsiaTheme="minorEastAsia" w:cstheme="minorEastAsia"/>
                <w:color w:val="auto"/>
                <w:sz w:val="2"/>
                <w:szCs w:val="2"/>
              </w:rPr>
            </w:pPr>
          </w:p>
        </w:tc>
        <w:tc>
          <w:tcPr>
            <w:tcW w:w="2944" w:type="dxa"/>
            <w:vMerge w:val="continue"/>
          </w:tcPr>
          <w:p w14:paraId="655F1DE8">
            <w:pPr>
              <w:pStyle w:val="25"/>
              <w:spacing w:before="77"/>
              <w:ind w:left="107"/>
              <w:rPr>
                <w:rFonts w:hint="eastAsia" w:asciiTheme="minorEastAsia" w:hAnsiTheme="minorEastAsia" w:eastAsiaTheme="minorEastAsia" w:cstheme="minorEastAsia"/>
                <w:color w:val="auto"/>
                <w:sz w:val="24"/>
              </w:rPr>
            </w:pPr>
          </w:p>
        </w:tc>
      </w:tr>
    </w:tbl>
    <w:p w14:paraId="67B5054A">
      <w:pPr>
        <w:pStyle w:val="6"/>
        <w:spacing w:before="8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3244FBE2">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1、本表应按照下列规定填写：</w:t>
      </w:r>
    </w:p>
    <w:p w14:paraId="3EC6AAFD">
      <w:pPr>
        <w:pStyle w:val="24"/>
        <w:numPr>
          <w:ilvl w:val="1"/>
          <w:numId w:val="77"/>
        </w:numPr>
        <w:tabs>
          <w:tab w:val="left" w:pos="1063"/>
        </w:tabs>
        <w:spacing w:before="161"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投标人应按照本表格式填写所投的采购包的“投标报价”。</w:t>
      </w:r>
    </w:p>
    <w:p w14:paraId="433151FF">
      <w:pPr>
        <w:pStyle w:val="24"/>
        <w:numPr>
          <w:ilvl w:val="1"/>
          <w:numId w:val="77"/>
        </w:numPr>
        <w:tabs>
          <w:tab w:val="left" w:pos="1065"/>
        </w:tabs>
        <w:spacing w:before="160" w:after="0" w:line="364"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2"/>
          <w:sz w:val="24"/>
        </w:rPr>
        <w:t>本表中列示的“采购包”应与《投标分项报价表》中列示的“采购包”保持一</w:t>
      </w:r>
      <w:r>
        <w:rPr>
          <w:rFonts w:hint="eastAsia" w:asciiTheme="minorEastAsia" w:hAnsiTheme="minorEastAsia" w:eastAsiaTheme="minorEastAsia" w:cstheme="minorEastAsia"/>
          <w:color w:val="auto"/>
          <w:sz w:val="24"/>
        </w:rPr>
        <w:t>致，即：若本表中列示的“采购包”为“1</w:t>
      </w:r>
      <w:r>
        <w:rPr>
          <w:rFonts w:hint="eastAsia" w:asciiTheme="minorEastAsia" w:hAnsiTheme="minorEastAsia" w:eastAsiaTheme="minorEastAsia" w:cstheme="minorEastAsia"/>
          <w:color w:val="auto"/>
          <w:spacing w:val="-1"/>
          <w:sz w:val="24"/>
        </w:rPr>
        <w:t>”时，《投标分项报价表》中列示的“采购</w:t>
      </w:r>
      <w:r>
        <w:rPr>
          <w:rFonts w:hint="eastAsia" w:asciiTheme="minorEastAsia" w:hAnsiTheme="minorEastAsia" w:eastAsiaTheme="minorEastAsia" w:cstheme="minorEastAsia"/>
          <w:color w:val="auto"/>
          <w:sz w:val="24"/>
        </w:rPr>
        <w:t>包”亦应为“1”，以此类推。</w:t>
      </w:r>
    </w:p>
    <w:p w14:paraId="2E29615A">
      <w:pPr>
        <w:pStyle w:val="24"/>
        <w:numPr>
          <w:ilvl w:val="1"/>
          <w:numId w:val="77"/>
        </w:numPr>
        <w:tabs>
          <w:tab w:val="left" w:pos="1006"/>
        </w:tabs>
        <w:spacing w:before="2" w:after="0" w:line="364"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“大写金额”指“投标报价”应用“壹、贰、叁、肆、伍、陆、柒、捌、玖、拾、佰、仟、万、亿、元、角、分、零”等进行填写。</w:t>
      </w:r>
    </w:p>
    <w:p w14:paraId="4B748916">
      <w:pPr>
        <w:pStyle w:val="6"/>
        <w:tabs>
          <w:tab w:val="left" w:pos="7566"/>
          <w:tab w:val="left" w:pos="8286"/>
          <w:tab w:val="left" w:pos="9006"/>
        </w:tabs>
        <w:spacing w:before="1" w:line="364" w:lineRule="auto"/>
        <w:ind w:left="6366" w:right="577" w:hanging="720"/>
        <w:rPr>
          <w:rFonts w:hint="eastAsia" w:asciiTheme="minorEastAsia" w:hAnsiTheme="minorEastAsia" w:eastAsiaTheme="minorEastAsia" w:cstheme="minorEastAsia"/>
          <w:color w:val="auto"/>
        </w:rPr>
      </w:pPr>
    </w:p>
    <w:p w14:paraId="357B8B4B">
      <w:pPr>
        <w:pStyle w:val="6"/>
        <w:tabs>
          <w:tab w:val="left" w:pos="7566"/>
          <w:tab w:val="left" w:pos="8286"/>
          <w:tab w:val="left" w:pos="9006"/>
        </w:tabs>
        <w:spacing w:before="1"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42F342B2">
      <w:pPr>
        <w:spacing w:after="0" w:line="364" w:lineRule="auto"/>
        <w:rPr>
          <w:rFonts w:hint="eastAsia" w:asciiTheme="minorEastAsia" w:hAnsiTheme="minorEastAsia" w:eastAsiaTheme="minorEastAsia" w:cstheme="minorEastAsia"/>
          <w:color w:val="auto"/>
        </w:rPr>
        <w:sectPr>
          <w:type w:val="continuous"/>
          <w:pgSz w:w="11910" w:h="16840"/>
          <w:pgMar w:top="1580" w:right="860" w:bottom="1080" w:left="1220" w:header="720" w:footer="720" w:gutter="0"/>
          <w:pgNumType w:fmt="decimal"/>
          <w:cols w:space="720" w:num="1"/>
        </w:sectPr>
      </w:pPr>
    </w:p>
    <w:p w14:paraId="38764D90">
      <w:pPr>
        <w:pStyle w:val="6"/>
        <w:tabs>
          <w:tab w:val="left" w:pos="3879"/>
        </w:tabs>
        <w:spacing w:before="177"/>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项目编号：</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p>
    <w:p w14:paraId="22920E17">
      <w:pPr>
        <w:pStyle w:val="4"/>
        <w:spacing w:before="42"/>
        <w:ind w:left="20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val="0"/>
          <w:color w:val="auto"/>
        </w:rPr>
        <w:br w:type="column"/>
      </w:r>
      <w:bookmarkStart w:id="88" w:name="二、投标分项报价表"/>
      <w:bookmarkEnd w:id="88"/>
      <w:r>
        <w:rPr>
          <w:rFonts w:hint="eastAsia" w:asciiTheme="minorEastAsia" w:hAnsiTheme="minorEastAsia" w:eastAsiaTheme="minorEastAsia" w:cstheme="minorEastAsia"/>
          <w:color w:val="auto"/>
        </w:rPr>
        <w:t>二、投标分项报价表</w:t>
      </w:r>
    </w:p>
    <w:p w14:paraId="20DBA3B2">
      <w:pPr>
        <w:pStyle w:val="6"/>
        <w:ind w:left="0"/>
        <w:rPr>
          <w:rFonts w:hint="eastAsia" w:asciiTheme="minorEastAsia" w:hAnsiTheme="minorEastAsia" w:eastAsiaTheme="minorEastAsia" w:cstheme="minorEastAsia"/>
          <w:b/>
          <w:color w:val="auto"/>
        </w:rPr>
      </w:pPr>
      <w:r>
        <w:rPr>
          <w:rFonts w:hint="eastAsia" w:asciiTheme="minorEastAsia" w:hAnsiTheme="minorEastAsia" w:eastAsiaTheme="minorEastAsia" w:cstheme="minorEastAsia"/>
          <w:color w:val="auto"/>
        </w:rPr>
        <w:br w:type="column"/>
      </w:r>
    </w:p>
    <w:p w14:paraId="310A2D70">
      <w:pPr>
        <w:pStyle w:val="6"/>
        <w:ind w:left="50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货币及单位：人民币元</w:t>
      </w:r>
    </w:p>
    <w:p w14:paraId="3C8A3E09">
      <w:pPr>
        <w:spacing w:after="0"/>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equalWidth="0" w:num="3">
            <w:col w:w="3880" w:space="40"/>
            <w:col w:w="2378" w:space="39"/>
            <w:col w:w="3493"/>
          </w:cols>
        </w:sectPr>
      </w:pPr>
    </w:p>
    <w:tbl>
      <w:tblPr>
        <w:tblStyle w:val="18"/>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25"/>
        <w:gridCol w:w="1026"/>
        <w:gridCol w:w="1026"/>
        <w:gridCol w:w="1026"/>
        <w:gridCol w:w="1026"/>
        <w:gridCol w:w="1026"/>
        <w:gridCol w:w="1026"/>
        <w:gridCol w:w="1026"/>
        <w:gridCol w:w="1026"/>
      </w:tblGrid>
      <w:tr w14:paraId="595125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3" w:hRule="atLeast"/>
        </w:trPr>
        <w:tc>
          <w:tcPr>
            <w:tcW w:w="1025" w:type="dxa"/>
          </w:tcPr>
          <w:p w14:paraId="62428C37">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采购包</w:t>
            </w:r>
          </w:p>
        </w:tc>
        <w:tc>
          <w:tcPr>
            <w:tcW w:w="1026" w:type="dxa"/>
          </w:tcPr>
          <w:p w14:paraId="7D9CEDB7">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品目号</w:t>
            </w:r>
          </w:p>
        </w:tc>
        <w:tc>
          <w:tcPr>
            <w:tcW w:w="1026" w:type="dxa"/>
          </w:tcPr>
          <w:p w14:paraId="7685FA0A">
            <w:pPr>
              <w:pStyle w:val="25"/>
              <w:spacing w:before="80" w:line="364" w:lineRule="auto"/>
              <w:ind w:left="108" w:right="101"/>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投标标的</w:t>
            </w:r>
          </w:p>
        </w:tc>
        <w:tc>
          <w:tcPr>
            <w:tcW w:w="1026" w:type="dxa"/>
          </w:tcPr>
          <w:p w14:paraId="450BB26A">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规格</w:t>
            </w:r>
          </w:p>
        </w:tc>
        <w:tc>
          <w:tcPr>
            <w:tcW w:w="1026" w:type="dxa"/>
          </w:tcPr>
          <w:p w14:paraId="24A7FB07">
            <w:pPr>
              <w:pStyle w:val="25"/>
              <w:spacing w:before="80"/>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来源地</w:t>
            </w:r>
          </w:p>
        </w:tc>
        <w:tc>
          <w:tcPr>
            <w:tcW w:w="1026" w:type="dxa"/>
          </w:tcPr>
          <w:p w14:paraId="4EFABD7A">
            <w:pPr>
              <w:pStyle w:val="25"/>
              <w:tabs>
                <w:tab w:val="left" w:pos="676"/>
              </w:tabs>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单</w:t>
            </w:r>
            <w:r>
              <w:rPr>
                <w:rFonts w:hint="eastAsia" w:asciiTheme="minorEastAsia" w:hAnsiTheme="minorEastAsia" w:eastAsiaTheme="minorEastAsia" w:cstheme="minorEastAsia"/>
                <w:color w:val="auto"/>
                <w:sz w:val="24"/>
              </w:rPr>
              <w:tab/>
            </w:r>
            <w:r>
              <w:rPr>
                <w:rFonts w:hint="eastAsia" w:asciiTheme="minorEastAsia" w:hAnsiTheme="minorEastAsia" w:eastAsiaTheme="minorEastAsia" w:cstheme="minorEastAsia"/>
                <w:color w:val="auto"/>
                <w:sz w:val="24"/>
              </w:rPr>
              <w:t>价</w:t>
            </w:r>
          </w:p>
          <w:p w14:paraId="2C3C6BA7">
            <w:pPr>
              <w:pStyle w:val="25"/>
              <w:tabs>
                <w:tab w:val="left" w:pos="676"/>
              </w:tabs>
              <w:spacing w:before="8" w:line="460" w:lineRule="atLeast"/>
              <w:ind w:left="107" w:right="102"/>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r>
              <w:rPr>
                <w:rFonts w:hint="eastAsia" w:asciiTheme="minorEastAsia" w:hAnsiTheme="minorEastAsia" w:eastAsiaTheme="minorEastAsia" w:cstheme="minorEastAsia"/>
                <w:color w:val="auto"/>
                <w:sz w:val="24"/>
              </w:rPr>
              <w:tab/>
            </w:r>
            <w:r>
              <w:rPr>
                <w:rFonts w:hint="eastAsia" w:asciiTheme="minorEastAsia" w:hAnsiTheme="minorEastAsia" w:eastAsiaTheme="minorEastAsia" w:cstheme="minorEastAsia"/>
                <w:color w:val="auto"/>
                <w:spacing w:val="-17"/>
                <w:sz w:val="24"/>
              </w:rPr>
              <w:t>现</w:t>
            </w:r>
            <w:r>
              <w:rPr>
                <w:rFonts w:hint="eastAsia" w:asciiTheme="minorEastAsia" w:hAnsiTheme="minorEastAsia" w:eastAsiaTheme="minorEastAsia" w:cstheme="minorEastAsia"/>
                <w:color w:val="auto"/>
                <w:sz w:val="24"/>
              </w:rPr>
              <w:t>场）</w:t>
            </w:r>
          </w:p>
        </w:tc>
        <w:tc>
          <w:tcPr>
            <w:tcW w:w="1026" w:type="dxa"/>
          </w:tcPr>
          <w:p w14:paraId="3FC11133">
            <w:pPr>
              <w:pStyle w:val="25"/>
              <w:spacing w:before="80"/>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数量</w:t>
            </w:r>
          </w:p>
        </w:tc>
        <w:tc>
          <w:tcPr>
            <w:tcW w:w="1026" w:type="dxa"/>
          </w:tcPr>
          <w:p w14:paraId="37AFC653">
            <w:pPr>
              <w:pStyle w:val="25"/>
              <w:tabs>
                <w:tab w:val="left" w:pos="676"/>
              </w:tabs>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总</w:t>
            </w:r>
            <w:r>
              <w:rPr>
                <w:rFonts w:hint="eastAsia" w:asciiTheme="minorEastAsia" w:hAnsiTheme="minorEastAsia" w:eastAsiaTheme="minorEastAsia" w:cstheme="minorEastAsia"/>
                <w:color w:val="auto"/>
                <w:sz w:val="24"/>
              </w:rPr>
              <w:tab/>
            </w:r>
            <w:r>
              <w:rPr>
                <w:rFonts w:hint="eastAsia" w:asciiTheme="minorEastAsia" w:hAnsiTheme="minorEastAsia" w:eastAsiaTheme="minorEastAsia" w:cstheme="minorEastAsia"/>
                <w:color w:val="auto"/>
                <w:sz w:val="24"/>
              </w:rPr>
              <w:t>价</w:t>
            </w:r>
          </w:p>
          <w:p w14:paraId="0A56B50E">
            <w:pPr>
              <w:pStyle w:val="25"/>
              <w:tabs>
                <w:tab w:val="left" w:pos="676"/>
              </w:tabs>
              <w:spacing w:before="8" w:line="460" w:lineRule="atLeast"/>
              <w:ind w:left="107" w:right="102"/>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r>
              <w:rPr>
                <w:rFonts w:hint="eastAsia" w:asciiTheme="minorEastAsia" w:hAnsiTheme="minorEastAsia" w:eastAsiaTheme="minorEastAsia" w:cstheme="minorEastAsia"/>
                <w:color w:val="auto"/>
                <w:sz w:val="24"/>
              </w:rPr>
              <w:tab/>
            </w:r>
            <w:r>
              <w:rPr>
                <w:rFonts w:hint="eastAsia" w:asciiTheme="minorEastAsia" w:hAnsiTheme="minorEastAsia" w:eastAsiaTheme="minorEastAsia" w:cstheme="minorEastAsia"/>
                <w:color w:val="auto"/>
                <w:spacing w:val="-17"/>
                <w:sz w:val="24"/>
              </w:rPr>
              <w:t>现</w:t>
            </w:r>
            <w:r>
              <w:rPr>
                <w:rFonts w:hint="eastAsia" w:asciiTheme="minorEastAsia" w:hAnsiTheme="minorEastAsia" w:eastAsiaTheme="minorEastAsia" w:cstheme="minorEastAsia"/>
                <w:color w:val="auto"/>
                <w:sz w:val="24"/>
              </w:rPr>
              <w:t>场）</w:t>
            </w:r>
          </w:p>
        </w:tc>
        <w:tc>
          <w:tcPr>
            <w:tcW w:w="1026" w:type="dxa"/>
          </w:tcPr>
          <w:p w14:paraId="423AAB81">
            <w:pPr>
              <w:pStyle w:val="25"/>
              <w:spacing w:before="80"/>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备注</w:t>
            </w:r>
          </w:p>
        </w:tc>
      </w:tr>
      <w:tr w14:paraId="3DBACC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025" w:type="dxa"/>
            <w:vMerge w:val="restart"/>
          </w:tcPr>
          <w:p w14:paraId="00CE0CAB">
            <w:pPr>
              <w:pStyle w:val="25"/>
              <w:spacing w:before="89"/>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1026" w:type="dxa"/>
          </w:tcPr>
          <w:p w14:paraId="1FF1EE11">
            <w:pPr>
              <w:pStyle w:val="25"/>
              <w:spacing w:before="89"/>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1026" w:type="dxa"/>
          </w:tcPr>
          <w:p w14:paraId="749C7CC9">
            <w:pPr>
              <w:pStyle w:val="25"/>
              <w:rPr>
                <w:rFonts w:hint="eastAsia" w:asciiTheme="minorEastAsia" w:hAnsiTheme="minorEastAsia" w:eastAsiaTheme="minorEastAsia" w:cstheme="minorEastAsia"/>
                <w:color w:val="auto"/>
                <w:sz w:val="22"/>
              </w:rPr>
            </w:pPr>
          </w:p>
        </w:tc>
        <w:tc>
          <w:tcPr>
            <w:tcW w:w="1026" w:type="dxa"/>
          </w:tcPr>
          <w:p w14:paraId="4A081E7B">
            <w:pPr>
              <w:pStyle w:val="25"/>
              <w:rPr>
                <w:rFonts w:hint="eastAsia" w:asciiTheme="minorEastAsia" w:hAnsiTheme="minorEastAsia" w:eastAsiaTheme="minorEastAsia" w:cstheme="minorEastAsia"/>
                <w:color w:val="auto"/>
                <w:sz w:val="22"/>
              </w:rPr>
            </w:pPr>
          </w:p>
        </w:tc>
        <w:tc>
          <w:tcPr>
            <w:tcW w:w="1026" w:type="dxa"/>
          </w:tcPr>
          <w:p w14:paraId="3A02B42C">
            <w:pPr>
              <w:pStyle w:val="25"/>
              <w:rPr>
                <w:rFonts w:hint="eastAsia" w:asciiTheme="minorEastAsia" w:hAnsiTheme="minorEastAsia" w:eastAsiaTheme="minorEastAsia" w:cstheme="minorEastAsia"/>
                <w:color w:val="auto"/>
                <w:sz w:val="22"/>
              </w:rPr>
            </w:pPr>
          </w:p>
        </w:tc>
        <w:tc>
          <w:tcPr>
            <w:tcW w:w="1026" w:type="dxa"/>
          </w:tcPr>
          <w:p w14:paraId="731F74F6">
            <w:pPr>
              <w:pStyle w:val="25"/>
              <w:rPr>
                <w:rFonts w:hint="eastAsia" w:asciiTheme="minorEastAsia" w:hAnsiTheme="minorEastAsia" w:eastAsiaTheme="minorEastAsia" w:cstheme="minorEastAsia"/>
                <w:color w:val="auto"/>
                <w:sz w:val="22"/>
              </w:rPr>
            </w:pPr>
          </w:p>
        </w:tc>
        <w:tc>
          <w:tcPr>
            <w:tcW w:w="1026" w:type="dxa"/>
          </w:tcPr>
          <w:p w14:paraId="1D757FAF">
            <w:pPr>
              <w:pStyle w:val="25"/>
              <w:rPr>
                <w:rFonts w:hint="eastAsia" w:asciiTheme="minorEastAsia" w:hAnsiTheme="minorEastAsia" w:eastAsiaTheme="minorEastAsia" w:cstheme="minorEastAsia"/>
                <w:color w:val="auto"/>
                <w:sz w:val="22"/>
              </w:rPr>
            </w:pPr>
          </w:p>
        </w:tc>
        <w:tc>
          <w:tcPr>
            <w:tcW w:w="1026" w:type="dxa"/>
          </w:tcPr>
          <w:p w14:paraId="7D750091">
            <w:pPr>
              <w:pStyle w:val="25"/>
              <w:rPr>
                <w:rFonts w:hint="eastAsia" w:asciiTheme="minorEastAsia" w:hAnsiTheme="minorEastAsia" w:eastAsiaTheme="minorEastAsia" w:cstheme="minorEastAsia"/>
                <w:color w:val="auto"/>
                <w:sz w:val="22"/>
              </w:rPr>
            </w:pPr>
          </w:p>
        </w:tc>
        <w:tc>
          <w:tcPr>
            <w:tcW w:w="1026" w:type="dxa"/>
          </w:tcPr>
          <w:p w14:paraId="2528964C">
            <w:pPr>
              <w:pStyle w:val="25"/>
              <w:rPr>
                <w:rFonts w:hint="eastAsia" w:asciiTheme="minorEastAsia" w:hAnsiTheme="minorEastAsia" w:eastAsiaTheme="minorEastAsia" w:cstheme="minorEastAsia"/>
                <w:color w:val="auto"/>
                <w:sz w:val="22"/>
              </w:rPr>
            </w:pPr>
          </w:p>
        </w:tc>
      </w:tr>
      <w:tr w14:paraId="7B5371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1025" w:type="dxa"/>
            <w:vMerge w:val="continue"/>
            <w:tcBorders>
              <w:top w:val="nil"/>
            </w:tcBorders>
          </w:tcPr>
          <w:p w14:paraId="472AE8BA">
            <w:pPr>
              <w:rPr>
                <w:rFonts w:hint="eastAsia" w:asciiTheme="minorEastAsia" w:hAnsiTheme="minorEastAsia" w:eastAsiaTheme="minorEastAsia" w:cstheme="minorEastAsia"/>
                <w:color w:val="auto"/>
                <w:sz w:val="2"/>
                <w:szCs w:val="2"/>
              </w:rPr>
            </w:pPr>
          </w:p>
        </w:tc>
        <w:tc>
          <w:tcPr>
            <w:tcW w:w="1026" w:type="dxa"/>
          </w:tcPr>
          <w:p w14:paraId="78FC5A8C">
            <w:pPr>
              <w:pStyle w:val="25"/>
              <w:spacing w:before="82"/>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1026" w:type="dxa"/>
          </w:tcPr>
          <w:p w14:paraId="1BC7C62B">
            <w:pPr>
              <w:pStyle w:val="25"/>
              <w:rPr>
                <w:rFonts w:hint="eastAsia" w:asciiTheme="minorEastAsia" w:hAnsiTheme="minorEastAsia" w:eastAsiaTheme="minorEastAsia" w:cstheme="minorEastAsia"/>
                <w:color w:val="auto"/>
                <w:sz w:val="22"/>
              </w:rPr>
            </w:pPr>
          </w:p>
        </w:tc>
        <w:tc>
          <w:tcPr>
            <w:tcW w:w="1026" w:type="dxa"/>
          </w:tcPr>
          <w:p w14:paraId="4CCD55E4">
            <w:pPr>
              <w:pStyle w:val="25"/>
              <w:rPr>
                <w:rFonts w:hint="eastAsia" w:asciiTheme="minorEastAsia" w:hAnsiTheme="minorEastAsia" w:eastAsiaTheme="minorEastAsia" w:cstheme="minorEastAsia"/>
                <w:color w:val="auto"/>
                <w:sz w:val="22"/>
              </w:rPr>
            </w:pPr>
          </w:p>
        </w:tc>
        <w:tc>
          <w:tcPr>
            <w:tcW w:w="1026" w:type="dxa"/>
          </w:tcPr>
          <w:p w14:paraId="131356FD">
            <w:pPr>
              <w:pStyle w:val="25"/>
              <w:rPr>
                <w:rFonts w:hint="eastAsia" w:asciiTheme="minorEastAsia" w:hAnsiTheme="minorEastAsia" w:eastAsiaTheme="minorEastAsia" w:cstheme="minorEastAsia"/>
                <w:color w:val="auto"/>
                <w:sz w:val="22"/>
              </w:rPr>
            </w:pPr>
          </w:p>
        </w:tc>
        <w:tc>
          <w:tcPr>
            <w:tcW w:w="1026" w:type="dxa"/>
          </w:tcPr>
          <w:p w14:paraId="0C02F36A">
            <w:pPr>
              <w:pStyle w:val="25"/>
              <w:rPr>
                <w:rFonts w:hint="eastAsia" w:asciiTheme="minorEastAsia" w:hAnsiTheme="minorEastAsia" w:eastAsiaTheme="minorEastAsia" w:cstheme="minorEastAsia"/>
                <w:color w:val="auto"/>
                <w:sz w:val="22"/>
              </w:rPr>
            </w:pPr>
          </w:p>
        </w:tc>
        <w:tc>
          <w:tcPr>
            <w:tcW w:w="1026" w:type="dxa"/>
          </w:tcPr>
          <w:p w14:paraId="3A4FB9C1">
            <w:pPr>
              <w:pStyle w:val="25"/>
              <w:rPr>
                <w:rFonts w:hint="eastAsia" w:asciiTheme="minorEastAsia" w:hAnsiTheme="minorEastAsia" w:eastAsiaTheme="minorEastAsia" w:cstheme="minorEastAsia"/>
                <w:color w:val="auto"/>
                <w:sz w:val="22"/>
              </w:rPr>
            </w:pPr>
          </w:p>
        </w:tc>
        <w:tc>
          <w:tcPr>
            <w:tcW w:w="1026" w:type="dxa"/>
          </w:tcPr>
          <w:p w14:paraId="10D17EBC">
            <w:pPr>
              <w:pStyle w:val="25"/>
              <w:rPr>
                <w:rFonts w:hint="eastAsia" w:asciiTheme="minorEastAsia" w:hAnsiTheme="minorEastAsia" w:eastAsiaTheme="minorEastAsia" w:cstheme="minorEastAsia"/>
                <w:color w:val="auto"/>
                <w:sz w:val="22"/>
              </w:rPr>
            </w:pPr>
          </w:p>
        </w:tc>
        <w:tc>
          <w:tcPr>
            <w:tcW w:w="1026" w:type="dxa"/>
          </w:tcPr>
          <w:p w14:paraId="4E8BFD55">
            <w:pPr>
              <w:pStyle w:val="25"/>
              <w:rPr>
                <w:rFonts w:hint="eastAsia" w:asciiTheme="minorEastAsia" w:hAnsiTheme="minorEastAsia" w:eastAsiaTheme="minorEastAsia" w:cstheme="minorEastAsia"/>
                <w:color w:val="auto"/>
                <w:sz w:val="22"/>
              </w:rPr>
            </w:pPr>
          </w:p>
        </w:tc>
      </w:tr>
      <w:tr w14:paraId="163D19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025" w:type="dxa"/>
          </w:tcPr>
          <w:p w14:paraId="766EBF25">
            <w:pPr>
              <w:pStyle w:val="25"/>
              <w:spacing w:before="82"/>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1026" w:type="dxa"/>
          </w:tcPr>
          <w:p w14:paraId="03510891">
            <w:pPr>
              <w:pStyle w:val="25"/>
              <w:rPr>
                <w:rFonts w:hint="eastAsia" w:asciiTheme="minorEastAsia" w:hAnsiTheme="minorEastAsia" w:eastAsiaTheme="minorEastAsia" w:cstheme="minorEastAsia"/>
                <w:color w:val="auto"/>
                <w:sz w:val="22"/>
              </w:rPr>
            </w:pPr>
          </w:p>
        </w:tc>
        <w:tc>
          <w:tcPr>
            <w:tcW w:w="1026" w:type="dxa"/>
          </w:tcPr>
          <w:p w14:paraId="53F6684D">
            <w:pPr>
              <w:pStyle w:val="25"/>
              <w:rPr>
                <w:rFonts w:hint="eastAsia" w:asciiTheme="minorEastAsia" w:hAnsiTheme="minorEastAsia" w:eastAsiaTheme="minorEastAsia" w:cstheme="minorEastAsia"/>
                <w:color w:val="auto"/>
                <w:sz w:val="22"/>
              </w:rPr>
            </w:pPr>
          </w:p>
        </w:tc>
        <w:tc>
          <w:tcPr>
            <w:tcW w:w="1026" w:type="dxa"/>
          </w:tcPr>
          <w:p w14:paraId="2876B3E2">
            <w:pPr>
              <w:pStyle w:val="25"/>
              <w:rPr>
                <w:rFonts w:hint="eastAsia" w:asciiTheme="minorEastAsia" w:hAnsiTheme="minorEastAsia" w:eastAsiaTheme="minorEastAsia" w:cstheme="minorEastAsia"/>
                <w:color w:val="auto"/>
                <w:sz w:val="22"/>
              </w:rPr>
            </w:pPr>
          </w:p>
        </w:tc>
        <w:tc>
          <w:tcPr>
            <w:tcW w:w="1026" w:type="dxa"/>
          </w:tcPr>
          <w:p w14:paraId="3C570BAE">
            <w:pPr>
              <w:pStyle w:val="25"/>
              <w:rPr>
                <w:rFonts w:hint="eastAsia" w:asciiTheme="minorEastAsia" w:hAnsiTheme="minorEastAsia" w:eastAsiaTheme="minorEastAsia" w:cstheme="minorEastAsia"/>
                <w:color w:val="auto"/>
                <w:sz w:val="22"/>
              </w:rPr>
            </w:pPr>
          </w:p>
        </w:tc>
        <w:tc>
          <w:tcPr>
            <w:tcW w:w="1026" w:type="dxa"/>
          </w:tcPr>
          <w:p w14:paraId="393D6D6B">
            <w:pPr>
              <w:pStyle w:val="25"/>
              <w:rPr>
                <w:rFonts w:hint="eastAsia" w:asciiTheme="minorEastAsia" w:hAnsiTheme="minorEastAsia" w:eastAsiaTheme="minorEastAsia" w:cstheme="minorEastAsia"/>
                <w:color w:val="auto"/>
                <w:sz w:val="22"/>
              </w:rPr>
            </w:pPr>
          </w:p>
        </w:tc>
        <w:tc>
          <w:tcPr>
            <w:tcW w:w="1026" w:type="dxa"/>
          </w:tcPr>
          <w:p w14:paraId="4A378609">
            <w:pPr>
              <w:pStyle w:val="25"/>
              <w:rPr>
                <w:rFonts w:hint="eastAsia" w:asciiTheme="minorEastAsia" w:hAnsiTheme="minorEastAsia" w:eastAsiaTheme="minorEastAsia" w:cstheme="minorEastAsia"/>
                <w:color w:val="auto"/>
                <w:sz w:val="22"/>
              </w:rPr>
            </w:pPr>
          </w:p>
        </w:tc>
        <w:tc>
          <w:tcPr>
            <w:tcW w:w="1026" w:type="dxa"/>
          </w:tcPr>
          <w:p w14:paraId="4F800936">
            <w:pPr>
              <w:pStyle w:val="25"/>
              <w:rPr>
                <w:rFonts w:hint="eastAsia" w:asciiTheme="minorEastAsia" w:hAnsiTheme="minorEastAsia" w:eastAsiaTheme="minorEastAsia" w:cstheme="minorEastAsia"/>
                <w:color w:val="auto"/>
                <w:sz w:val="22"/>
              </w:rPr>
            </w:pPr>
          </w:p>
        </w:tc>
        <w:tc>
          <w:tcPr>
            <w:tcW w:w="1026" w:type="dxa"/>
          </w:tcPr>
          <w:p w14:paraId="338DD48D">
            <w:pPr>
              <w:pStyle w:val="25"/>
              <w:rPr>
                <w:rFonts w:hint="eastAsia" w:asciiTheme="minorEastAsia" w:hAnsiTheme="minorEastAsia" w:eastAsiaTheme="minorEastAsia" w:cstheme="minorEastAsia"/>
                <w:color w:val="auto"/>
                <w:sz w:val="22"/>
              </w:rPr>
            </w:pPr>
          </w:p>
        </w:tc>
      </w:tr>
    </w:tbl>
    <w:p w14:paraId="0DEEDB14">
      <w:pPr>
        <w:pStyle w:val="6"/>
        <w:spacing w:before="8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24782CC7">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1、本表应按照下列规定填写：</w:t>
      </w:r>
    </w:p>
    <w:p w14:paraId="58045F27">
      <w:pPr>
        <w:pStyle w:val="24"/>
        <w:numPr>
          <w:ilvl w:val="1"/>
          <w:numId w:val="78"/>
        </w:numPr>
        <w:tabs>
          <w:tab w:val="left" w:pos="1065"/>
        </w:tabs>
        <w:spacing w:before="160" w:after="0" w:line="364"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投标人应按照本表格式填写所投采购包的分项报价，其中：“采购包”、“品</w:t>
      </w:r>
      <w:r>
        <w:rPr>
          <w:rFonts w:hint="eastAsia" w:asciiTheme="minorEastAsia" w:hAnsiTheme="minorEastAsia" w:eastAsiaTheme="minorEastAsia" w:cstheme="minorEastAsia"/>
          <w:color w:val="auto"/>
          <w:spacing w:val="-19"/>
          <w:sz w:val="24"/>
        </w:rPr>
        <w:t>目号”、“投标标的”及“数量”应与招标文件《采购标的一览表》中的有关内容</w:t>
      </w:r>
      <w:r>
        <w:rPr>
          <w:rFonts w:hint="eastAsia" w:asciiTheme="minorEastAsia" w:hAnsiTheme="minorEastAsia" w:eastAsiaTheme="minorEastAsia" w:cstheme="minorEastAsia"/>
          <w:color w:val="auto"/>
          <w:spacing w:val="-14"/>
          <w:sz w:val="24"/>
        </w:rPr>
        <w:t>（“采</w:t>
      </w:r>
      <w:r>
        <w:rPr>
          <w:rFonts w:hint="eastAsia" w:asciiTheme="minorEastAsia" w:hAnsiTheme="minorEastAsia" w:eastAsiaTheme="minorEastAsia" w:cstheme="minorEastAsia"/>
          <w:color w:val="auto"/>
          <w:spacing w:val="-8"/>
          <w:sz w:val="24"/>
        </w:rPr>
        <w:t>购包”、“品目号”、“采购标的”及“数量”</w:t>
      </w:r>
      <w:r>
        <w:rPr>
          <w:rFonts w:hint="eastAsia" w:asciiTheme="minorEastAsia" w:hAnsiTheme="minorEastAsia" w:eastAsiaTheme="minorEastAsia" w:cstheme="minorEastAsia"/>
          <w:color w:val="auto"/>
          <w:spacing w:val="-7"/>
          <w:sz w:val="24"/>
        </w:rPr>
        <w:t>）</w:t>
      </w:r>
      <w:r>
        <w:rPr>
          <w:rFonts w:hint="eastAsia" w:asciiTheme="minorEastAsia" w:hAnsiTheme="minorEastAsia" w:eastAsiaTheme="minorEastAsia" w:cstheme="minorEastAsia"/>
          <w:color w:val="auto"/>
          <w:spacing w:val="-6"/>
          <w:sz w:val="24"/>
        </w:rPr>
        <w:t>保持一致，“采购包”还应与《开标</w:t>
      </w:r>
      <w:r>
        <w:rPr>
          <w:rFonts w:hint="eastAsia" w:asciiTheme="minorEastAsia" w:hAnsiTheme="minorEastAsia" w:eastAsiaTheme="minorEastAsia" w:cstheme="minorEastAsia"/>
          <w:color w:val="auto"/>
          <w:spacing w:val="-11"/>
          <w:sz w:val="24"/>
        </w:rPr>
        <w:t>一览表》中列示的“采购包”保持一致，即：若《开标一览表》中列示的“采购包”为</w:t>
      </w:r>
    </w:p>
    <w:p w14:paraId="7388B49C">
      <w:pPr>
        <w:pStyle w:val="6"/>
        <w:spacing w:before="3"/>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“1”时，本表中列示的“采购包”亦应为“1”，以此类推。</w:t>
      </w:r>
    </w:p>
    <w:p w14:paraId="24585004">
      <w:pPr>
        <w:pStyle w:val="24"/>
        <w:numPr>
          <w:ilvl w:val="1"/>
          <w:numId w:val="78"/>
        </w:numPr>
        <w:tabs>
          <w:tab w:val="left" w:pos="1006"/>
        </w:tabs>
        <w:spacing w:before="160" w:after="0" w:line="364"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“投标标的”为货物的：“规格”项下应填写货物制造厂商赋予的品牌（属于</w:t>
      </w:r>
      <w:r>
        <w:rPr>
          <w:rFonts w:hint="eastAsia" w:asciiTheme="minorEastAsia" w:hAnsiTheme="minorEastAsia" w:eastAsiaTheme="minorEastAsia" w:cstheme="minorEastAsia"/>
          <w:color w:val="auto"/>
          <w:spacing w:val="-8"/>
          <w:sz w:val="24"/>
        </w:rPr>
        <w:t>节能、环保清单产品的货物，填写的品牌名称应与清单载明的品牌名称保持一致</w:t>
      </w:r>
      <w:r>
        <w:rPr>
          <w:rFonts w:hint="eastAsia" w:asciiTheme="minorEastAsia" w:hAnsiTheme="minorEastAsia" w:eastAsiaTheme="minorEastAsia" w:cstheme="minorEastAsia"/>
          <w:color w:val="auto"/>
          <w:spacing w:val="-32"/>
          <w:sz w:val="24"/>
        </w:rPr>
        <w:t>）</w:t>
      </w:r>
      <w:r>
        <w:rPr>
          <w:rFonts w:hint="eastAsia" w:asciiTheme="minorEastAsia" w:hAnsiTheme="minorEastAsia" w:eastAsiaTheme="minorEastAsia" w:cstheme="minorEastAsia"/>
          <w:color w:val="auto"/>
          <w:spacing w:val="-8"/>
          <w:sz w:val="24"/>
        </w:rPr>
        <w:t>及具</w:t>
      </w:r>
      <w:r>
        <w:rPr>
          <w:rFonts w:hint="eastAsia" w:asciiTheme="minorEastAsia" w:hAnsiTheme="minorEastAsia" w:eastAsiaTheme="minorEastAsia" w:cstheme="minorEastAsia"/>
          <w:color w:val="auto"/>
          <w:sz w:val="24"/>
        </w:rPr>
        <w:t>体型号。“来源地”应填写货物的原产地。</w:t>
      </w:r>
    </w:p>
    <w:p w14:paraId="2288FDEE">
      <w:pPr>
        <w:pStyle w:val="24"/>
        <w:numPr>
          <w:ilvl w:val="1"/>
          <w:numId w:val="78"/>
        </w:numPr>
        <w:tabs>
          <w:tab w:val="left" w:pos="1006"/>
        </w:tabs>
        <w:spacing w:before="2" w:after="0" w:line="364" w:lineRule="auto"/>
        <w:ind w:left="220" w:right="580"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“投标标的”为服务的：“规格”项下应填写服务提供者提供的服务标准及品牌（若有）。“来源地”应填写服务提供者的所在地。</w:t>
      </w:r>
    </w:p>
    <w:p w14:paraId="467C31B6">
      <w:pPr>
        <w:pStyle w:val="24"/>
        <w:numPr>
          <w:ilvl w:val="1"/>
          <w:numId w:val="78"/>
        </w:numPr>
        <w:tabs>
          <w:tab w:val="left" w:pos="1063"/>
        </w:tabs>
        <w:spacing w:before="1"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4"/>
          <w:sz w:val="24"/>
        </w:rPr>
        <w:t>同一采购包中，“单价</w:t>
      </w:r>
      <w:r>
        <w:rPr>
          <w:rFonts w:hint="eastAsia" w:asciiTheme="minorEastAsia" w:hAnsiTheme="minorEastAsia" w:eastAsiaTheme="minorEastAsia" w:cstheme="minorEastAsia"/>
          <w:color w:val="auto"/>
          <w:sz w:val="24"/>
        </w:rPr>
        <w:t>（现场</w:t>
      </w:r>
      <w:r>
        <w:rPr>
          <w:rFonts w:hint="eastAsia" w:asciiTheme="minorEastAsia" w:hAnsiTheme="minorEastAsia" w:eastAsiaTheme="minorEastAsia" w:cstheme="minorEastAsia"/>
          <w:color w:val="auto"/>
          <w:spacing w:val="-7"/>
          <w:sz w:val="24"/>
        </w:rPr>
        <w:t>）</w:t>
      </w:r>
      <w:r>
        <w:rPr>
          <w:rFonts w:hint="eastAsia" w:asciiTheme="minorEastAsia" w:hAnsiTheme="minorEastAsia" w:eastAsiaTheme="minorEastAsia" w:cstheme="minorEastAsia"/>
          <w:color w:val="auto"/>
          <w:spacing w:val="-6"/>
          <w:sz w:val="24"/>
        </w:rPr>
        <w:t>”×“数量”=</w:t>
      </w:r>
      <w:r>
        <w:rPr>
          <w:rFonts w:hint="eastAsia" w:asciiTheme="minorEastAsia" w:hAnsiTheme="minorEastAsia" w:eastAsiaTheme="minorEastAsia" w:cstheme="minorEastAsia"/>
          <w:color w:val="auto"/>
          <w:spacing w:val="-5"/>
          <w:sz w:val="24"/>
        </w:rPr>
        <w:t>“总价</w:t>
      </w:r>
      <w:r>
        <w:rPr>
          <w:rFonts w:hint="eastAsia" w:asciiTheme="minorEastAsia" w:hAnsiTheme="minorEastAsia" w:eastAsiaTheme="minorEastAsia" w:cstheme="minorEastAsia"/>
          <w:color w:val="auto"/>
          <w:sz w:val="24"/>
        </w:rPr>
        <w:t>（现场</w:t>
      </w:r>
      <w:r>
        <w:rPr>
          <w:rFonts w:hint="eastAsia" w:asciiTheme="minorEastAsia" w:hAnsiTheme="minorEastAsia" w:eastAsiaTheme="minorEastAsia" w:cstheme="minorEastAsia"/>
          <w:color w:val="auto"/>
          <w:spacing w:val="-9"/>
          <w:sz w:val="24"/>
        </w:rPr>
        <w:t>）</w:t>
      </w:r>
      <w:r>
        <w:rPr>
          <w:rFonts w:hint="eastAsia" w:asciiTheme="minorEastAsia" w:hAnsiTheme="minorEastAsia" w:eastAsiaTheme="minorEastAsia" w:cstheme="minorEastAsia"/>
          <w:color w:val="auto"/>
          <w:spacing w:val="-4"/>
          <w:sz w:val="24"/>
        </w:rPr>
        <w:t>”，全部品目号</w:t>
      </w:r>
    </w:p>
    <w:p w14:paraId="715F474F">
      <w:pPr>
        <w:pStyle w:val="6"/>
        <w:spacing w:before="161" w:line="364" w:lineRule="auto"/>
        <w:ind w:right="577"/>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4"/>
        </w:rPr>
        <w:t>“总价</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rPr>
        <w:t>现场</w:t>
      </w:r>
      <w:r>
        <w:rPr>
          <w:rFonts w:hint="eastAsia" w:asciiTheme="minorEastAsia" w:hAnsiTheme="minorEastAsia" w:eastAsiaTheme="minorEastAsia" w:cstheme="minorEastAsia"/>
          <w:color w:val="auto"/>
          <w:spacing w:val="-14"/>
        </w:rPr>
        <w:t>）</w:t>
      </w:r>
      <w:r>
        <w:rPr>
          <w:rFonts w:hint="eastAsia" w:asciiTheme="minorEastAsia" w:hAnsiTheme="minorEastAsia" w:eastAsiaTheme="minorEastAsia" w:cstheme="minorEastAsia"/>
          <w:color w:val="auto"/>
          <w:spacing w:val="-10"/>
        </w:rPr>
        <w:t>”的合计金额应与《开标一览表》中相应采购包列示的“投标总价”保</w:t>
      </w:r>
      <w:r>
        <w:rPr>
          <w:rFonts w:hint="eastAsia" w:asciiTheme="minorEastAsia" w:hAnsiTheme="minorEastAsia" w:eastAsiaTheme="minorEastAsia" w:cstheme="minorEastAsia"/>
          <w:color w:val="auto"/>
        </w:rPr>
        <w:t>持一致。</w:t>
      </w:r>
    </w:p>
    <w:p w14:paraId="7A55F36F">
      <w:pPr>
        <w:pStyle w:val="24"/>
        <w:numPr>
          <w:ilvl w:val="1"/>
          <w:numId w:val="78"/>
        </w:numPr>
        <w:tabs>
          <w:tab w:val="left" w:pos="1065"/>
        </w:tabs>
        <w:spacing w:before="1" w:after="0" w:line="364"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若招标文件要求投标人对“备品备件价格、专用工具价格、技术服务费、安装</w:t>
      </w:r>
      <w:r>
        <w:rPr>
          <w:rFonts w:hint="eastAsia" w:asciiTheme="minorEastAsia" w:hAnsiTheme="minorEastAsia" w:eastAsiaTheme="minorEastAsia" w:cstheme="minorEastAsia"/>
          <w:color w:val="auto"/>
          <w:spacing w:val="-11"/>
          <w:sz w:val="24"/>
        </w:rPr>
        <w:t>调试费、检验培训费、运输费、保险费、税收”等进行报价的，请在本表的“备注”项</w:t>
      </w:r>
      <w:r>
        <w:rPr>
          <w:rFonts w:hint="eastAsia" w:asciiTheme="minorEastAsia" w:hAnsiTheme="minorEastAsia" w:eastAsiaTheme="minorEastAsia" w:cstheme="minorEastAsia"/>
          <w:color w:val="auto"/>
          <w:sz w:val="24"/>
        </w:rPr>
        <w:t>下填写。</w:t>
      </w:r>
    </w:p>
    <w:p w14:paraId="19DE97B3">
      <w:pPr>
        <w:pStyle w:val="6"/>
        <w:tabs>
          <w:tab w:val="left" w:pos="7566"/>
          <w:tab w:val="left" w:pos="8286"/>
          <w:tab w:val="left" w:pos="9006"/>
        </w:tabs>
        <w:spacing w:before="2"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683D5C9A">
      <w:pPr>
        <w:spacing w:after="0" w:line="364" w:lineRule="auto"/>
        <w:rPr>
          <w:rFonts w:hint="eastAsia" w:asciiTheme="minorEastAsia" w:hAnsiTheme="minorEastAsia" w:eastAsiaTheme="minorEastAsia" w:cstheme="minorEastAsia"/>
          <w:color w:val="auto"/>
        </w:rPr>
        <w:sectPr>
          <w:type w:val="continuous"/>
          <w:pgSz w:w="11910" w:h="16840"/>
          <w:pgMar w:top="1580" w:right="860" w:bottom="1080" w:left="1220" w:header="720" w:footer="720" w:gutter="0"/>
          <w:pgNumType w:fmt="decimal"/>
          <w:cols w:space="720" w:num="1"/>
        </w:sectPr>
      </w:pPr>
    </w:p>
    <w:p w14:paraId="5F6AEA4B">
      <w:pPr>
        <w:pStyle w:val="4"/>
        <w:spacing w:before="42"/>
        <w:jc w:val="cente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三、招标文件规定的价格扣除证明材料（若有）</w:t>
      </w:r>
    </w:p>
    <w:p w14:paraId="6EE2EAB3">
      <w:pPr>
        <w:spacing w:before="160"/>
        <w:ind w:right="0"/>
        <w:jc w:val="center"/>
        <w:rPr>
          <w:rFonts w:hint="eastAsia" w:asciiTheme="minorEastAsia" w:hAnsiTheme="minorEastAsia" w:eastAsiaTheme="minorEastAsia" w:cstheme="minorEastAsia"/>
          <w:b/>
          <w:color w:val="auto"/>
          <w:sz w:val="24"/>
        </w:rPr>
      </w:pPr>
      <w:bookmarkStart w:id="89" w:name="三-1优先类节能产品、环境标志产品价格扣除证明材料（若有）"/>
      <w:bookmarkEnd w:id="89"/>
      <w:r>
        <w:rPr>
          <w:rFonts w:hint="eastAsia" w:asciiTheme="minorEastAsia" w:hAnsiTheme="minorEastAsia" w:eastAsiaTheme="minorEastAsia" w:cstheme="minorEastAsia"/>
          <w:b/>
          <w:color w:val="auto"/>
          <w:sz w:val="24"/>
        </w:rPr>
        <w:t>三-1 优先类节能产品、环境标志产品价格扣除证明材料（若有）</w:t>
      </w:r>
    </w:p>
    <w:p w14:paraId="2AF0A266">
      <w:pPr>
        <w:tabs>
          <w:tab w:val="left" w:pos="3879"/>
          <w:tab w:val="left" w:pos="9680"/>
          <w:tab w:val="left" w:pos="10120"/>
        </w:tabs>
        <w:spacing w:before="161" w:line="364" w:lineRule="auto"/>
        <w:ind w:right="150" w:rightChars="0"/>
        <w:jc w:val="center"/>
        <w:rPr>
          <w:rFonts w:hint="eastAsia" w:asciiTheme="minorEastAsia" w:hAnsiTheme="minorEastAsia" w:eastAsiaTheme="minorEastAsia" w:cstheme="minorEastAsia"/>
          <w:b/>
          <w:color w:val="auto"/>
          <w:spacing w:val="-11"/>
          <w:sz w:val="24"/>
        </w:rPr>
      </w:pPr>
      <w:bookmarkStart w:id="90" w:name="三-1-①优先类节能产品、环境标志产品统计表（价格扣除适用，若有）"/>
      <w:bookmarkEnd w:id="90"/>
      <w:r>
        <w:rPr>
          <w:rFonts w:hint="eastAsia" w:asciiTheme="minorEastAsia" w:hAnsiTheme="minorEastAsia" w:eastAsiaTheme="minorEastAsia" w:cstheme="minorEastAsia"/>
          <w:b/>
          <w:color w:val="auto"/>
          <w:sz w:val="24"/>
        </w:rPr>
        <w:t>三-1-①优先类节能产品、环境标志产品统计表（价格扣除适用，若有</w:t>
      </w:r>
      <w:r>
        <w:rPr>
          <w:rFonts w:hint="eastAsia" w:asciiTheme="minorEastAsia" w:hAnsiTheme="minorEastAsia" w:eastAsiaTheme="minorEastAsia" w:cstheme="minorEastAsia"/>
          <w:b/>
          <w:color w:val="auto"/>
          <w:spacing w:val="-11"/>
          <w:sz w:val="24"/>
        </w:rPr>
        <w:t>）</w:t>
      </w:r>
    </w:p>
    <w:p w14:paraId="71ADF5B2">
      <w:pPr>
        <w:tabs>
          <w:tab w:val="left" w:pos="3879"/>
        </w:tabs>
        <w:spacing w:before="161" w:line="364" w:lineRule="auto"/>
        <w:ind w:right="863"/>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项目编号：</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rPr>
        <w:tab/>
      </w:r>
    </w:p>
    <w:p w14:paraId="24DE8D6E">
      <w:pPr>
        <w:pStyle w:val="6"/>
        <w:spacing w:before="1"/>
        <w:ind w:left="0" w:right="577"/>
        <w:jc w:val="right"/>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货币及单位：人民币元</w:t>
      </w:r>
    </w:p>
    <w:tbl>
      <w:tblPr>
        <w:tblStyle w:val="18"/>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19"/>
        <w:gridCol w:w="1319"/>
        <w:gridCol w:w="1320"/>
        <w:gridCol w:w="1320"/>
        <w:gridCol w:w="1320"/>
        <w:gridCol w:w="1320"/>
        <w:gridCol w:w="1322"/>
      </w:tblGrid>
      <w:tr w14:paraId="24F117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319" w:type="dxa"/>
          </w:tcPr>
          <w:p w14:paraId="2530EABE">
            <w:pPr>
              <w:pStyle w:val="25"/>
              <w:rPr>
                <w:rFonts w:hint="eastAsia" w:asciiTheme="minorEastAsia" w:hAnsiTheme="minorEastAsia" w:eastAsiaTheme="minorEastAsia" w:cstheme="minorEastAsia"/>
                <w:color w:val="auto"/>
                <w:sz w:val="22"/>
              </w:rPr>
            </w:pPr>
          </w:p>
        </w:tc>
        <w:tc>
          <w:tcPr>
            <w:tcW w:w="7921" w:type="dxa"/>
            <w:gridSpan w:val="6"/>
          </w:tcPr>
          <w:p w14:paraId="31DB5CE3">
            <w:pPr>
              <w:pStyle w:val="25"/>
              <w:spacing w:before="80"/>
              <w:ind w:left="216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本采购包内属于节能、环境标志产品的情况</w:t>
            </w:r>
          </w:p>
        </w:tc>
      </w:tr>
      <w:tr w14:paraId="1505A9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6" w:hRule="atLeast"/>
        </w:trPr>
        <w:tc>
          <w:tcPr>
            <w:tcW w:w="1319" w:type="dxa"/>
          </w:tcPr>
          <w:p w14:paraId="0B4B406D">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采购包</w:t>
            </w:r>
          </w:p>
        </w:tc>
        <w:tc>
          <w:tcPr>
            <w:tcW w:w="1319" w:type="dxa"/>
          </w:tcPr>
          <w:p w14:paraId="17CAE02C">
            <w:pPr>
              <w:pStyle w:val="25"/>
              <w:spacing w:before="80"/>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品目号</w:t>
            </w:r>
          </w:p>
        </w:tc>
        <w:tc>
          <w:tcPr>
            <w:tcW w:w="1320" w:type="dxa"/>
          </w:tcPr>
          <w:p w14:paraId="318B5C11">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货物名称</w:t>
            </w:r>
          </w:p>
        </w:tc>
        <w:tc>
          <w:tcPr>
            <w:tcW w:w="1320" w:type="dxa"/>
          </w:tcPr>
          <w:p w14:paraId="4979F5AF">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单价（ 现</w:t>
            </w:r>
          </w:p>
          <w:p w14:paraId="1080A884">
            <w:pPr>
              <w:pStyle w:val="25"/>
              <w:spacing w:before="16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场）</w:t>
            </w:r>
          </w:p>
        </w:tc>
        <w:tc>
          <w:tcPr>
            <w:tcW w:w="1320" w:type="dxa"/>
          </w:tcPr>
          <w:p w14:paraId="6B5ACD35">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数量</w:t>
            </w:r>
          </w:p>
        </w:tc>
        <w:tc>
          <w:tcPr>
            <w:tcW w:w="1320" w:type="dxa"/>
          </w:tcPr>
          <w:p w14:paraId="76110906">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总价（ 现</w:t>
            </w:r>
          </w:p>
          <w:p w14:paraId="5394D801">
            <w:pPr>
              <w:pStyle w:val="25"/>
              <w:spacing w:before="16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场）</w:t>
            </w:r>
          </w:p>
        </w:tc>
        <w:tc>
          <w:tcPr>
            <w:tcW w:w="1322" w:type="dxa"/>
          </w:tcPr>
          <w:p w14:paraId="1308909E">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认证种类</w:t>
            </w:r>
          </w:p>
        </w:tc>
      </w:tr>
      <w:tr w14:paraId="351971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319" w:type="dxa"/>
            <w:vMerge w:val="restart"/>
          </w:tcPr>
          <w:p w14:paraId="1E4A0C93">
            <w:pPr>
              <w:pStyle w:val="25"/>
              <w:spacing w:before="88"/>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1319" w:type="dxa"/>
          </w:tcPr>
          <w:p w14:paraId="49604AB3">
            <w:pPr>
              <w:pStyle w:val="25"/>
              <w:spacing w:before="88"/>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1320" w:type="dxa"/>
          </w:tcPr>
          <w:p w14:paraId="269167E5">
            <w:pPr>
              <w:pStyle w:val="25"/>
              <w:rPr>
                <w:rFonts w:hint="eastAsia" w:asciiTheme="minorEastAsia" w:hAnsiTheme="minorEastAsia" w:eastAsiaTheme="minorEastAsia" w:cstheme="minorEastAsia"/>
                <w:color w:val="auto"/>
                <w:sz w:val="22"/>
              </w:rPr>
            </w:pPr>
          </w:p>
        </w:tc>
        <w:tc>
          <w:tcPr>
            <w:tcW w:w="1320" w:type="dxa"/>
          </w:tcPr>
          <w:p w14:paraId="431FF227">
            <w:pPr>
              <w:pStyle w:val="25"/>
              <w:rPr>
                <w:rFonts w:hint="eastAsia" w:asciiTheme="minorEastAsia" w:hAnsiTheme="minorEastAsia" w:eastAsiaTheme="minorEastAsia" w:cstheme="minorEastAsia"/>
                <w:color w:val="auto"/>
                <w:sz w:val="22"/>
              </w:rPr>
            </w:pPr>
          </w:p>
        </w:tc>
        <w:tc>
          <w:tcPr>
            <w:tcW w:w="1320" w:type="dxa"/>
          </w:tcPr>
          <w:p w14:paraId="1E30B8C5">
            <w:pPr>
              <w:pStyle w:val="25"/>
              <w:rPr>
                <w:rFonts w:hint="eastAsia" w:asciiTheme="minorEastAsia" w:hAnsiTheme="minorEastAsia" w:eastAsiaTheme="minorEastAsia" w:cstheme="minorEastAsia"/>
                <w:color w:val="auto"/>
                <w:sz w:val="22"/>
              </w:rPr>
            </w:pPr>
          </w:p>
        </w:tc>
        <w:tc>
          <w:tcPr>
            <w:tcW w:w="1320" w:type="dxa"/>
          </w:tcPr>
          <w:p w14:paraId="2B4ED8E5">
            <w:pPr>
              <w:pStyle w:val="25"/>
              <w:rPr>
                <w:rFonts w:hint="eastAsia" w:asciiTheme="minorEastAsia" w:hAnsiTheme="minorEastAsia" w:eastAsiaTheme="minorEastAsia" w:cstheme="minorEastAsia"/>
                <w:color w:val="auto"/>
                <w:sz w:val="22"/>
              </w:rPr>
            </w:pPr>
          </w:p>
        </w:tc>
        <w:tc>
          <w:tcPr>
            <w:tcW w:w="1322" w:type="dxa"/>
          </w:tcPr>
          <w:p w14:paraId="44D8A299">
            <w:pPr>
              <w:pStyle w:val="25"/>
              <w:rPr>
                <w:rFonts w:hint="eastAsia" w:asciiTheme="minorEastAsia" w:hAnsiTheme="minorEastAsia" w:eastAsiaTheme="minorEastAsia" w:cstheme="minorEastAsia"/>
                <w:color w:val="auto"/>
                <w:sz w:val="22"/>
              </w:rPr>
            </w:pPr>
          </w:p>
        </w:tc>
      </w:tr>
      <w:tr w14:paraId="569444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319" w:type="dxa"/>
            <w:vMerge w:val="continue"/>
            <w:tcBorders>
              <w:top w:val="nil"/>
            </w:tcBorders>
          </w:tcPr>
          <w:p w14:paraId="3EB77BD2">
            <w:pPr>
              <w:rPr>
                <w:rFonts w:hint="eastAsia" w:asciiTheme="minorEastAsia" w:hAnsiTheme="minorEastAsia" w:eastAsiaTheme="minorEastAsia" w:cstheme="minorEastAsia"/>
                <w:color w:val="auto"/>
                <w:sz w:val="2"/>
                <w:szCs w:val="2"/>
              </w:rPr>
            </w:pPr>
          </w:p>
        </w:tc>
        <w:tc>
          <w:tcPr>
            <w:tcW w:w="1319" w:type="dxa"/>
          </w:tcPr>
          <w:p w14:paraId="2D96D0A5">
            <w:pPr>
              <w:pStyle w:val="25"/>
              <w:spacing w:before="82"/>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1320" w:type="dxa"/>
          </w:tcPr>
          <w:p w14:paraId="5BD4184F">
            <w:pPr>
              <w:pStyle w:val="25"/>
              <w:rPr>
                <w:rFonts w:hint="eastAsia" w:asciiTheme="minorEastAsia" w:hAnsiTheme="minorEastAsia" w:eastAsiaTheme="minorEastAsia" w:cstheme="minorEastAsia"/>
                <w:color w:val="auto"/>
                <w:sz w:val="22"/>
              </w:rPr>
            </w:pPr>
          </w:p>
        </w:tc>
        <w:tc>
          <w:tcPr>
            <w:tcW w:w="1320" w:type="dxa"/>
          </w:tcPr>
          <w:p w14:paraId="1B3E9FA3">
            <w:pPr>
              <w:pStyle w:val="25"/>
              <w:rPr>
                <w:rFonts w:hint="eastAsia" w:asciiTheme="minorEastAsia" w:hAnsiTheme="minorEastAsia" w:eastAsiaTheme="minorEastAsia" w:cstheme="minorEastAsia"/>
                <w:color w:val="auto"/>
                <w:sz w:val="22"/>
              </w:rPr>
            </w:pPr>
          </w:p>
        </w:tc>
        <w:tc>
          <w:tcPr>
            <w:tcW w:w="1320" w:type="dxa"/>
          </w:tcPr>
          <w:p w14:paraId="4349BA11">
            <w:pPr>
              <w:pStyle w:val="25"/>
              <w:rPr>
                <w:rFonts w:hint="eastAsia" w:asciiTheme="minorEastAsia" w:hAnsiTheme="minorEastAsia" w:eastAsiaTheme="minorEastAsia" w:cstheme="minorEastAsia"/>
                <w:color w:val="auto"/>
                <w:sz w:val="22"/>
              </w:rPr>
            </w:pPr>
          </w:p>
        </w:tc>
        <w:tc>
          <w:tcPr>
            <w:tcW w:w="1320" w:type="dxa"/>
          </w:tcPr>
          <w:p w14:paraId="7FD4F71D">
            <w:pPr>
              <w:pStyle w:val="25"/>
              <w:rPr>
                <w:rFonts w:hint="eastAsia" w:asciiTheme="minorEastAsia" w:hAnsiTheme="minorEastAsia" w:eastAsiaTheme="minorEastAsia" w:cstheme="minorEastAsia"/>
                <w:color w:val="auto"/>
                <w:sz w:val="22"/>
              </w:rPr>
            </w:pPr>
          </w:p>
        </w:tc>
        <w:tc>
          <w:tcPr>
            <w:tcW w:w="1322" w:type="dxa"/>
          </w:tcPr>
          <w:p w14:paraId="609B0EEB">
            <w:pPr>
              <w:pStyle w:val="25"/>
              <w:rPr>
                <w:rFonts w:hint="eastAsia" w:asciiTheme="minorEastAsia" w:hAnsiTheme="minorEastAsia" w:eastAsiaTheme="minorEastAsia" w:cstheme="minorEastAsia"/>
                <w:color w:val="auto"/>
                <w:sz w:val="22"/>
              </w:rPr>
            </w:pPr>
          </w:p>
        </w:tc>
      </w:tr>
      <w:tr w14:paraId="79272D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2" w:hRule="atLeast"/>
        </w:trPr>
        <w:tc>
          <w:tcPr>
            <w:tcW w:w="1319" w:type="dxa"/>
          </w:tcPr>
          <w:p w14:paraId="1A7AA664">
            <w:pPr>
              <w:pStyle w:val="25"/>
              <w:spacing w:before="81"/>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备注</w:t>
            </w:r>
          </w:p>
        </w:tc>
        <w:tc>
          <w:tcPr>
            <w:tcW w:w="7921" w:type="dxa"/>
            <w:gridSpan w:val="6"/>
          </w:tcPr>
          <w:p w14:paraId="745D9E10">
            <w:pPr>
              <w:pStyle w:val="25"/>
              <w:numPr>
                <w:ilvl w:val="0"/>
                <w:numId w:val="79"/>
              </w:numPr>
              <w:tabs>
                <w:tab w:val="left" w:pos="286"/>
                <w:tab w:val="left" w:pos="6761"/>
              </w:tabs>
              <w:spacing w:before="81" w:after="0" w:line="240" w:lineRule="auto"/>
              <w:ind w:left="285" w:right="0" w:hanging="177"/>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采购包内属于节能、环境标志产品的报价总金额：</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rPr>
              <w:tab/>
            </w:r>
            <w:r>
              <w:rPr>
                <w:rFonts w:hint="eastAsia" w:asciiTheme="minorEastAsia" w:hAnsiTheme="minorEastAsia" w:eastAsiaTheme="minorEastAsia" w:cstheme="minorEastAsia"/>
                <w:color w:val="auto"/>
                <w:sz w:val="24"/>
              </w:rPr>
              <w:t>；</w:t>
            </w:r>
          </w:p>
          <w:p w14:paraId="350B68CF">
            <w:pPr>
              <w:pStyle w:val="25"/>
              <w:numPr>
                <w:ilvl w:val="0"/>
                <w:numId w:val="79"/>
              </w:numPr>
              <w:tabs>
                <w:tab w:val="left" w:pos="298"/>
                <w:tab w:val="left" w:pos="5093"/>
              </w:tabs>
              <w:spacing w:before="161" w:after="0" w:line="240" w:lineRule="auto"/>
              <w:ind w:left="297" w:right="0" w:hanging="189"/>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采购包投标总价（报价总金额）：</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rPr>
              <w:tab/>
            </w:r>
            <w:r>
              <w:rPr>
                <w:rFonts w:hint="eastAsia" w:asciiTheme="minorEastAsia" w:hAnsiTheme="minorEastAsia" w:eastAsiaTheme="minorEastAsia" w:cstheme="minorEastAsia"/>
                <w:color w:val="auto"/>
                <w:sz w:val="24"/>
              </w:rPr>
              <w:t>；</w:t>
            </w:r>
          </w:p>
          <w:p w14:paraId="480EE524">
            <w:pPr>
              <w:pStyle w:val="25"/>
              <w:numPr>
                <w:ilvl w:val="0"/>
                <w:numId w:val="79"/>
              </w:numPr>
              <w:tabs>
                <w:tab w:val="left" w:pos="273"/>
                <w:tab w:val="left" w:pos="5799"/>
              </w:tabs>
              <w:spacing w:before="8" w:after="0" w:line="460" w:lineRule="atLeast"/>
              <w:ind w:left="108" w:right="101" w:firstLine="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4"/>
                <w:sz w:val="24"/>
              </w:rPr>
              <w:t>“</w:t>
            </w:r>
            <w:r>
              <w:rPr>
                <w:rFonts w:hint="eastAsia" w:asciiTheme="minorEastAsia" w:hAnsiTheme="minorEastAsia" w:eastAsiaTheme="minorEastAsia" w:cstheme="minorEastAsia"/>
                <w:color w:val="auto"/>
                <w:sz w:val="24"/>
              </w:rPr>
              <w:t>采</w:t>
            </w:r>
            <w:r>
              <w:rPr>
                <w:rFonts w:hint="eastAsia" w:asciiTheme="minorEastAsia" w:hAnsiTheme="minorEastAsia" w:eastAsiaTheme="minorEastAsia" w:cstheme="minorEastAsia"/>
                <w:color w:val="auto"/>
                <w:spacing w:val="4"/>
                <w:sz w:val="24"/>
              </w:rPr>
              <w:t>购</w:t>
            </w:r>
            <w:r>
              <w:rPr>
                <w:rFonts w:hint="eastAsia" w:asciiTheme="minorEastAsia" w:hAnsiTheme="minorEastAsia" w:eastAsiaTheme="minorEastAsia" w:cstheme="minorEastAsia"/>
                <w:color w:val="auto"/>
                <w:sz w:val="24"/>
              </w:rPr>
              <w:t>包</w:t>
            </w:r>
            <w:r>
              <w:rPr>
                <w:rFonts w:hint="eastAsia" w:asciiTheme="minorEastAsia" w:hAnsiTheme="minorEastAsia" w:eastAsiaTheme="minorEastAsia" w:cstheme="minorEastAsia"/>
                <w:color w:val="auto"/>
                <w:spacing w:val="4"/>
                <w:sz w:val="24"/>
              </w:rPr>
              <w:t>内</w:t>
            </w:r>
            <w:r>
              <w:rPr>
                <w:rFonts w:hint="eastAsia" w:asciiTheme="minorEastAsia" w:hAnsiTheme="minorEastAsia" w:eastAsiaTheme="minorEastAsia" w:cstheme="minorEastAsia"/>
                <w:color w:val="auto"/>
                <w:sz w:val="24"/>
              </w:rPr>
              <w:t>属于</w:t>
            </w:r>
            <w:r>
              <w:rPr>
                <w:rFonts w:hint="eastAsia" w:asciiTheme="minorEastAsia" w:hAnsiTheme="minorEastAsia" w:eastAsiaTheme="minorEastAsia" w:cstheme="minorEastAsia"/>
                <w:color w:val="auto"/>
                <w:spacing w:val="4"/>
                <w:sz w:val="24"/>
              </w:rPr>
              <w:t>节</w:t>
            </w:r>
            <w:r>
              <w:rPr>
                <w:rFonts w:hint="eastAsia" w:asciiTheme="minorEastAsia" w:hAnsiTheme="minorEastAsia" w:eastAsiaTheme="minorEastAsia" w:cstheme="minorEastAsia"/>
                <w:color w:val="auto"/>
                <w:sz w:val="24"/>
              </w:rPr>
              <w:t>能、</w:t>
            </w:r>
            <w:r>
              <w:rPr>
                <w:rFonts w:hint="eastAsia" w:asciiTheme="minorEastAsia" w:hAnsiTheme="minorEastAsia" w:eastAsiaTheme="minorEastAsia" w:cstheme="minorEastAsia"/>
                <w:color w:val="auto"/>
                <w:spacing w:val="4"/>
                <w:sz w:val="24"/>
              </w:rPr>
              <w:t>环</w:t>
            </w:r>
            <w:r>
              <w:rPr>
                <w:rFonts w:hint="eastAsia" w:asciiTheme="minorEastAsia" w:hAnsiTheme="minorEastAsia" w:eastAsiaTheme="minorEastAsia" w:cstheme="minorEastAsia"/>
                <w:color w:val="auto"/>
                <w:sz w:val="24"/>
              </w:rPr>
              <w:t>境</w:t>
            </w:r>
            <w:r>
              <w:rPr>
                <w:rFonts w:hint="eastAsia" w:asciiTheme="minorEastAsia" w:hAnsiTheme="minorEastAsia" w:eastAsiaTheme="minorEastAsia" w:cstheme="minorEastAsia"/>
                <w:color w:val="auto"/>
                <w:spacing w:val="4"/>
                <w:sz w:val="24"/>
              </w:rPr>
              <w:t>标</w:t>
            </w:r>
            <w:r>
              <w:rPr>
                <w:rFonts w:hint="eastAsia" w:asciiTheme="minorEastAsia" w:hAnsiTheme="minorEastAsia" w:eastAsiaTheme="minorEastAsia" w:cstheme="minorEastAsia"/>
                <w:color w:val="auto"/>
                <w:sz w:val="24"/>
              </w:rPr>
              <w:t>志产</w:t>
            </w:r>
            <w:r>
              <w:rPr>
                <w:rFonts w:hint="eastAsia" w:asciiTheme="minorEastAsia" w:hAnsiTheme="minorEastAsia" w:eastAsiaTheme="minorEastAsia" w:cstheme="minorEastAsia"/>
                <w:color w:val="auto"/>
                <w:spacing w:val="4"/>
                <w:sz w:val="24"/>
              </w:rPr>
              <w:t>品</w:t>
            </w:r>
            <w:r>
              <w:rPr>
                <w:rFonts w:hint="eastAsia" w:asciiTheme="minorEastAsia" w:hAnsiTheme="minorEastAsia" w:eastAsiaTheme="minorEastAsia" w:cstheme="minorEastAsia"/>
                <w:color w:val="auto"/>
                <w:sz w:val="24"/>
              </w:rPr>
              <w:t>的</w:t>
            </w:r>
            <w:r>
              <w:rPr>
                <w:rFonts w:hint="eastAsia" w:asciiTheme="minorEastAsia" w:hAnsiTheme="minorEastAsia" w:eastAsiaTheme="minorEastAsia" w:cstheme="minorEastAsia"/>
                <w:color w:val="auto"/>
                <w:spacing w:val="4"/>
                <w:sz w:val="24"/>
              </w:rPr>
              <w:t>报</w:t>
            </w:r>
            <w:r>
              <w:rPr>
                <w:rFonts w:hint="eastAsia" w:asciiTheme="minorEastAsia" w:hAnsiTheme="minorEastAsia" w:eastAsiaTheme="minorEastAsia" w:cstheme="minorEastAsia"/>
                <w:color w:val="auto"/>
                <w:sz w:val="24"/>
              </w:rPr>
              <w:t>价总</w:t>
            </w:r>
            <w:r>
              <w:rPr>
                <w:rFonts w:hint="eastAsia" w:asciiTheme="minorEastAsia" w:hAnsiTheme="minorEastAsia" w:eastAsiaTheme="minorEastAsia" w:cstheme="minorEastAsia"/>
                <w:color w:val="auto"/>
                <w:spacing w:val="4"/>
                <w:sz w:val="24"/>
              </w:rPr>
              <w:t>金</w:t>
            </w:r>
            <w:r>
              <w:rPr>
                <w:rFonts w:hint="eastAsia" w:asciiTheme="minorEastAsia" w:hAnsiTheme="minorEastAsia" w:eastAsiaTheme="minorEastAsia" w:cstheme="minorEastAsia"/>
                <w:color w:val="auto"/>
                <w:sz w:val="24"/>
              </w:rPr>
              <w:t>额”</w:t>
            </w:r>
            <w:r>
              <w:rPr>
                <w:rFonts w:hint="eastAsia" w:asciiTheme="minorEastAsia" w:hAnsiTheme="minorEastAsia" w:eastAsiaTheme="minorEastAsia" w:cstheme="minorEastAsia"/>
                <w:color w:val="auto"/>
                <w:spacing w:val="4"/>
                <w:sz w:val="24"/>
              </w:rPr>
              <w:t>占</w:t>
            </w:r>
            <w:r>
              <w:rPr>
                <w:rFonts w:hint="eastAsia" w:asciiTheme="minorEastAsia" w:hAnsiTheme="minorEastAsia" w:eastAsiaTheme="minorEastAsia" w:cstheme="minorEastAsia"/>
                <w:color w:val="auto"/>
                <w:sz w:val="24"/>
              </w:rPr>
              <w:t>“采</w:t>
            </w:r>
            <w:r>
              <w:rPr>
                <w:rFonts w:hint="eastAsia" w:asciiTheme="minorEastAsia" w:hAnsiTheme="minorEastAsia" w:eastAsiaTheme="minorEastAsia" w:cstheme="minorEastAsia"/>
                <w:color w:val="auto"/>
                <w:spacing w:val="4"/>
                <w:sz w:val="24"/>
              </w:rPr>
              <w:t>购</w:t>
            </w:r>
            <w:r>
              <w:rPr>
                <w:rFonts w:hint="eastAsia" w:asciiTheme="minorEastAsia" w:hAnsiTheme="minorEastAsia" w:eastAsiaTheme="minorEastAsia" w:cstheme="minorEastAsia"/>
                <w:color w:val="auto"/>
                <w:sz w:val="24"/>
              </w:rPr>
              <w:t>包</w:t>
            </w:r>
            <w:r>
              <w:rPr>
                <w:rFonts w:hint="eastAsia" w:asciiTheme="minorEastAsia" w:hAnsiTheme="minorEastAsia" w:eastAsiaTheme="minorEastAsia" w:cstheme="minorEastAsia"/>
                <w:color w:val="auto"/>
                <w:spacing w:val="4"/>
                <w:sz w:val="24"/>
              </w:rPr>
              <w:t>投</w:t>
            </w:r>
            <w:r>
              <w:rPr>
                <w:rFonts w:hint="eastAsia" w:asciiTheme="minorEastAsia" w:hAnsiTheme="minorEastAsia" w:eastAsiaTheme="minorEastAsia" w:cstheme="minorEastAsia"/>
                <w:color w:val="auto"/>
                <w:sz w:val="24"/>
              </w:rPr>
              <w:t>标总价（报价总金额）”的比例（以%列示）：</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rPr>
              <w:tab/>
            </w:r>
            <w:r>
              <w:rPr>
                <w:rFonts w:hint="eastAsia" w:asciiTheme="minorEastAsia" w:hAnsiTheme="minorEastAsia" w:eastAsiaTheme="minorEastAsia" w:cstheme="minorEastAsia"/>
                <w:color w:val="auto"/>
                <w:sz w:val="24"/>
              </w:rPr>
              <w:t>；</w:t>
            </w:r>
          </w:p>
        </w:tc>
      </w:tr>
    </w:tbl>
    <w:p w14:paraId="1B3158AC">
      <w:pPr>
        <w:pStyle w:val="6"/>
        <w:spacing w:before="8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61A09952">
      <w:pPr>
        <w:pStyle w:val="6"/>
        <w:spacing w:before="16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1、对节能、环境标志产品计算价格扣除时，只依据投标文件“三-1-②优先类节能产品、环境标志产品证明材料（价格扣除适用，若有）”。</w:t>
      </w:r>
    </w:p>
    <w:p w14:paraId="682678EB">
      <w:pPr>
        <w:pStyle w:val="6"/>
        <w:spacing w:before="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2、本表以采购包为单位，不同采购包请分别填写；同一采购包请按照其品目号顺序分别填写。</w:t>
      </w:r>
    </w:p>
    <w:p w14:paraId="57366BB9">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3、具体统计、计算：</w:t>
      </w:r>
    </w:p>
    <w:p w14:paraId="673180B5">
      <w:pPr>
        <w:pStyle w:val="24"/>
        <w:numPr>
          <w:ilvl w:val="1"/>
          <w:numId w:val="80"/>
        </w:numPr>
        <w:tabs>
          <w:tab w:val="left" w:pos="1065"/>
        </w:tabs>
        <w:spacing w:before="161" w:after="0" w:line="364"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若节能、环境标志产品仅是构成投标产品的部件、组件或零件，则该投标产品</w:t>
      </w:r>
      <w:r>
        <w:rPr>
          <w:rFonts w:hint="eastAsia" w:asciiTheme="minorEastAsia" w:hAnsiTheme="minorEastAsia" w:eastAsiaTheme="minorEastAsia" w:cstheme="minorEastAsia"/>
          <w:color w:val="auto"/>
          <w:spacing w:val="-8"/>
          <w:sz w:val="24"/>
        </w:rPr>
        <w:t>不享受鼓励优惠政策。同一品目中各认证证书不重复计算价格扣除。强制类节能产品不</w:t>
      </w:r>
      <w:r>
        <w:rPr>
          <w:rFonts w:hint="eastAsia" w:asciiTheme="minorEastAsia" w:hAnsiTheme="minorEastAsia" w:eastAsiaTheme="minorEastAsia" w:cstheme="minorEastAsia"/>
          <w:color w:val="auto"/>
          <w:sz w:val="24"/>
        </w:rPr>
        <w:t>享受价格扣除。</w:t>
      </w:r>
    </w:p>
    <w:p w14:paraId="20771956">
      <w:pPr>
        <w:pStyle w:val="24"/>
        <w:numPr>
          <w:ilvl w:val="1"/>
          <w:numId w:val="80"/>
        </w:numPr>
        <w:tabs>
          <w:tab w:val="left" w:pos="1063"/>
        </w:tabs>
        <w:spacing w:before="1"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计算结果若除不尽，可四舍五入保留到小数点后两位。</w:t>
      </w:r>
    </w:p>
    <w:p w14:paraId="4C04F087">
      <w:pPr>
        <w:pStyle w:val="24"/>
        <w:numPr>
          <w:ilvl w:val="1"/>
          <w:numId w:val="80"/>
        </w:numPr>
        <w:tabs>
          <w:tab w:val="left" w:pos="1063"/>
        </w:tabs>
        <w:spacing w:before="161"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投标人应按照招标文件要求认真统计、计算，否则评标委员会不予认定。</w:t>
      </w:r>
    </w:p>
    <w:p w14:paraId="2573924B">
      <w:pPr>
        <w:pStyle w:val="24"/>
        <w:numPr>
          <w:ilvl w:val="1"/>
          <w:numId w:val="80"/>
        </w:numPr>
        <w:tabs>
          <w:tab w:val="left" w:pos="1063"/>
        </w:tabs>
        <w:spacing w:before="160"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若无节能、环境标志产品，不填写本表，否则，视为提供虚假材料。</w:t>
      </w:r>
    </w:p>
    <w:p w14:paraId="64686350">
      <w:pPr>
        <w:pStyle w:val="6"/>
        <w:tabs>
          <w:tab w:val="left" w:pos="7566"/>
          <w:tab w:val="left" w:pos="8286"/>
          <w:tab w:val="left" w:pos="9006"/>
        </w:tabs>
        <w:spacing w:before="161" w:line="364" w:lineRule="auto"/>
        <w:ind w:left="6366" w:right="577" w:hanging="720"/>
        <w:jc w:val="right"/>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133EF592">
      <w:pPr>
        <w:spacing w:after="0" w:line="364" w:lineRule="auto"/>
        <w:jc w:val="right"/>
        <w:rPr>
          <w:rFonts w:hint="eastAsia" w:asciiTheme="minorEastAsia" w:hAnsiTheme="minorEastAsia" w:eastAsiaTheme="minorEastAsia" w:cstheme="minorEastAsia"/>
          <w:color w:val="auto"/>
        </w:rPr>
        <w:sectPr>
          <w:footerReference r:id="rId13" w:type="default"/>
          <w:pgSz w:w="11910" w:h="16840"/>
          <w:pgMar w:top="1460" w:right="860" w:bottom="1160" w:left="1220" w:header="0" w:footer="970" w:gutter="0"/>
          <w:pgNumType w:fmt="decimal"/>
          <w:cols w:space="720" w:num="1"/>
        </w:sectPr>
      </w:pPr>
    </w:p>
    <w:p w14:paraId="79DB6B5E">
      <w:pPr>
        <w:pStyle w:val="4"/>
        <w:tabs>
          <w:tab w:val="left" w:pos="9680"/>
        </w:tabs>
        <w:spacing w:before="42" w:line="364" w:lineRule="auto"/>
        <w:ind w:left="0" w:leftChars="0" w:right="150" w:rightChars="0" w:firstLine="0" w:firstLineChars="0"/>
        <w:jc w:val="center"/>
        <w:rPr>
          <w:rFonts w:hint="eastAsia" w:asciiTheme="minorEastAsia" w:hAnsiTheme="minorEastAsia" w:eastAsiaTheme="minorEastAsia" w:cstheme="minorEastAsia"/>
          <w:color w:val="auto"/>
        </w:rPr>
      </w:pPr>
      <w:bookmarkStart w:id="91" w:name="三-1-②优先类节能产品、环境标志产品证明材料（价格扣除适用，若有）"/>
      <w:bookmarkEnd w:id="91"/>
      <w:r>
        <w:rPr>
          <w:rFonts w:hint="eastAsia" w:asciiTheme="minorEastAsia" w:hAnsiTheme="minorEastAsia" w:eastAsiaTheme="minorEastAsia" w:cstheme="minorEastAsia"/>
          <w:color w:val="auto"/>
        </w:rPr>
        <w:t>三-1-②优先类节能产品、环境标志产品证明材料（价格扣除适用，若有）</w:t>
      </w:r>
      <w:bookmarkStart w:id="92" w:name="三-2小型、微型企业产品等价格扣除证明材料（若有）"/>
      <w:bookmarkEnd w:id="92"/>
    </w:p>
    <w:p w14:paraId="241DA92B">
      <w:pPr>
        <w:pStyle w:val="4"/>
        <w:tabs>
          <w:tab w:val="left" w:pos="9680"/>
        </w:tabs>
        <w:spacing w:before="42" w:line="364" w:lineRule="auto"/>
        <w:ind w:left="0" w:leftChars="0" w:right="150" w:rightChars="0" w:firstLine="0" w:firstLineChars="0"/>
        <w:jc w:val="cente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三-2 小型、微型企业产品等价格扣除证明材料（若有）</w:t>
      </w:r>
    </w:p>
    <w:p w14:paraId="6CD5FDE6">
      <w:pPr>
        <w:spacing w:before="1" w:line="364" w:lineRule="auto"/>
        <w:ind w:right="150" w:rightChars="0"/>
        <w:jc w:val="center"/>
        <w:rPr>
          <w:rFonts w:hint="eastAsia" w:asciiTheme="minorEastAsia" w:hAnsiTheme="minorEastAsia" w:eastAsiaTheme="minorEastAsia" w:cstheme="minorEastAsia"/>
          <w:b/>
          <w:color w:val="auto"/>
          <w:sz w:val="24"/>
        </w:rPr>
      </w:pPr>
      <w:bookmarkStart w:id="93" w:name="三-2-①中小企业声明函（价格扣除适用，若有）"/>
      <w:bookmarkEnd w:id="93"/>
      <w:r>
        <w:rPr>
          <w:rFonts w:hint="eastAsia" w:asciiTheme="minorEastAsia" w:hAnsiTheme="minorEastAsia" w:eastAsiaTheme="minorEastAsia" w:cstheme="minorEastAsia"/>
          <w:b/>
          <w:color w:val="auto"/>
          <w:sz w:val="24"/>
        </w:rPr>
        <w:t>三-2-①中小企业声明函（价格扣除适用，若有）</w:t>
      </w:r>
      <w:bookmarkStart w:id="94" w:name="中小企业声明函（货物）"/>
      <w:bookmarkEnd w:id="94"/>
    </w:p>
    <w:p w14:paraId="77CB3B3D">
      <w:pPr>
        <w:tabs>
          <w:tab w:val="left" w:pos="9680"/>
          <w:tab w:val="left" w:pos="9900"/>
        </w:tabs>
        <w:spacing w:before="1" w:line="364" w:lineRule="auto"/>
        <w:ind w:right="-70" w:rightChars="0"/>
        <w:jc w:val="center"/>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b/>
          <w:color w:val="auto"/>
          <w:sz w:val="24"/>
        </w:rPr>
        <w:t>中小企业声明函（货物）</w:t>
      </w:r>
    </w:p>
    <w:p w14:paraId="31CFFED1">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本公司（联合体）郑重声明，根据《政府采购促进中小企业发展管理办法》（财库</w:t>
      </w:r>
    </w:p>
    <w:p w14:paraId="08542C75">
      <w:pPr>
        <w:pStyle w:val="6"/>
        <w:tabs>
          <w:tab w:val="left" w:pos="2439"/>
        </w:tabs>
        <w:spacing w:before="161" w:line="364" w:lineRule="auto"/>
        <w:ind w:right="457"/>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﹝2020﹞46号</w:t>
      </w:r>
      <w:r>
        <w:rPr>
          <w:rFonts w:hint="eastAsia" w:asciiTheme="minorEastAsia" w:hAnsiTheme="minorEastAsia" w:eastAsiaTheme="minorEastAsia" w:cstheme="minorEastAsia"/>
          <w:color w:val="auto"/>
          <w:spacing w:val="-5"/>
        </w:rPr>
        <w:t>）</w:t>
      </w:r>
      <w:r>
        <w:rPr>
          <w:rFonts w:hint="eastAsia" w:asciiTheme="minorEastAsia" w:hAnsiTheme="minorEastAsia" w:eastAsiaTheme="minorEastAsia" w:cstheme="minorEastAsia"/>
          <w:color w:val="auto"/>
          <w:spacing w:val="-3"/>
        </w:rPr>
        <w:t>的规定，本公司</w:t>
      </w:r>
      <w:r>
        <w:rPr>
          <w:rFonts w:hint="eastAsia" w:asciiTheme="minorEastAsia" w:hAnsiTheme="minorEastAsia" w:eastAsiaTheme="minorEastAsia" w:cstheme="minorEastAsia"/>
          <w:color w:val="auto"/>
        </w:rPr>
        <w:t>（联合体</w:t>
      </w:r>
      <w:r>
        <w:rPr>
          <w:rFonts w:hint="eastAsia" w:asciiTheme="minorEastAsia" w:hAnsiTheme="minorEastAsia" w:eastAsiaTheme="minorEastAsia" w:cstheme="minorEastAsia"/>
          <w:color w:val="auto"/>
          <w:spacing w:val="-5"/>
        </w:rPr>
        <w:t>）</w:t>
      </w:r>
      <w:r>
        <w:rPr>
          <w:rFonts w:hint="eastAsia" w:asciiTheme="minorEastAsia" w:hAnsiTheme="minorEastAsia" w:eastAsiaTheme="minorEastAsia" w:cstheme="minorEastAsia"/>
          <w:color w:val="auto"/>
          <w:spacing w:val="-3"/>
        </w:rPr>
        <w:t>参加</w:t>
      </w:r>
      <w:r>
        <w:rPr>
          <w:rFonts w:hint="eastAsia" w:asciiTheme="minorEastAsia" w:hAnsiTheme="minorEastAsia" w:eastAsiaTheme="minorEastAsia" w:cstheme="minorEastAsia"/>
          <w:color w:val="auto"/>
          <w:u w:val="single"/>
        </w:rPr>
        <w:t>（单位名称</w:t>
      </w:r>
      <w:r>
        <w:rPr>
          <w:rFonts w:hint="eastAsia" w:asciiTheme="minorEastAsia" w:hAnsiTheme="minorEastAsia" w:eastAsiaTheme="minorEastAsia" w:cstheme="minorEastAsia"/>
          <w:color w:val="auto"/>
          <w:spacing w:val="-8"/>
          <w:u w:val="single"/>
        </w:rPr>
        <w:t>）</w:t>
      </w:r>
      <w:r>
        <w:rPr>
          <w:rFonts w:hint="eastAsia" w:asciiTheme="minorEastAsia" w:hAnsiTheme="minorEastAsia" w:eastAsiaTheme="minorEastAsia" w:cstheme="minorEastAsia"/>
          <w:color w:val="auto"/>
          <w:spacing w:val="-3"/>
        </w:rPr>
        <w:t>的</w:t>
      </w:r>
      <w:r>
        <w:rPr>
          <w:rFonts w:hint="eastAsia" w:asciiTheme="minorEastAsia" w:hAnsiTheme="minorEastAsia" w:eastAsiaTheme="minorEastAsia" w:cstheme="minorEastAsia"/>
          <w:color w:val="auto"/>
          <w:u w:val="single"/>
        </w:rPr>
        <w:t>（项目名称</w:t>
      </w:r>
      <w:r>
        <w:rPr>
          <w:rFonts w:hint="eastAsia" w:asciiTheme="minorEastAsia" w:hAnsiTheme="minorEastAsia" w:eastAsiaTheme="minorEastAsia" w:cstheme="minorEastAsia"/>
          <w:color w:val="auto"/>
          <w:spacing w:val="-13"/>
          <w:u w:val="single"/>
        </w:rPr>
        <w:t xml:space="preserve">） </w:t>
      </w:r>
      <w:r>
        <w:rPr>
          <w:rFonts w:hint="eastAsia" w:asciiTheme="minorEastAsia" w:hAnsiTheme="minorEastAsia" w:eastAsiaTheme="minorEastAsia" w:cstheme="minorEastAsia"/>
          <w:color w:val="auto"/>
          <w:spacing w:val="-8"/>
        </w:rPr>
        <w:t>采购活动，提供的货物全部由符合政策要求的中小企业制造。相关企业</w:t>
      </w:r>
      <w:r>
        <w:rPr>
          <w:rFonts w:hint="eastAsia" w:asciiTheme="minorEastAsia" w:hAnsiTheme="minorEastAsia" w:eastAsiaTheme="minorEastAsia" w:cstheme="minorEastAsia"/>
          <w:color w:val="auto"/>
        </w:rPr>
        <w:t>（含联合体中的中小企业、签订分包意向协议的中小企业）的具体情况如下：</w:t>
      </w:r>
    </w:p>
    <w:p w14:paraId="72CD5730">
      <w:pPr>
        <w:pStyle w:val="6"/>
        <w:tabs>
          <w:tab w:val="left" w:pos="2384"/>
          <w:tab w:val="left" w:pos="5274"/>
          <w:tab w:val="left" w:pos="8403"/>
        </w:tabs>
        <w:spacing w:before="2"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w:t>
      </w:r>
      <w:r>
        <w:rPr>
          <w:rFonts w:hint="eastAsia" w:asciiTheme="minorEastAsia" w:hAnsiTheme="minorEastAsia" w:eastAsiaTheme="minorEastAsia" w:cstheme="minorEastAsia"/>
          <w:color w:val="auto"/>
          <w:spacing w:val="-39"/>
        </w:rPr>
        <w:t>.</w:t>
      </w:r>
      <w:r>
        <w:rPr>
          <w:rFonts w:hint="eastAsia" w:asciiTheme="minorEastAsia" w:hAnsiTheme="minorEastAsia" w:eastAsiaTheme="minorEastAsia" w:cstheme="minorEastAsia"/>
          <w:color w:val="auto"/>
          <w:spacing w:val="-3"/>
          <w:u w:val="single"/>
        </w:rPr>
        <w:t>（</w:t>
      </w:r>
      <w:r>
        <w:rPr>
          <w:rFonts w:hint="eastAsia" w:asciiTheme="minorEastAsia" w:hAnsiTheme="minorEastAsia" w:eastAsiaTheme="minorEastAsia" w:cstheme="minorEastAsia"/>
          <w:color w:val="auto"/>
          <w:u w:val="single"/>
        </w:rPr>
        <w:t>标的名称</w:t>
      </w:r>
      <w:r>
        <w:rPr>
          <w:rFonts w:hint="eastAsia" w:asciiTheme="minorEastAsia" w:hAnsiTheme="minorEastAsia" w:eastAsiaTheme="minorEastAsia" w:cstheme="minorEastAsia"/>
          <w:color w:val="auto"/>
          <w:spacing w:val="-39"/>
          <w:u w:val="single"/>
        </w:rPr>
        <w:t>）</w:t>
      </w:r>
      <w:r>
        <w:rPr>
          <w:rFonts w:hint="eastAsia" w:asciiTheme="minorEastAsia" w:hAnsiTheme="minorEastAsia" w:eastAsiaTheme="minorEastAsia" w:cstheme="minorEastAsia"/>
          <w:color w:val="auto"/>
          <w:spacing w:val="-41"/>
        </w:rPr>
        <w:t>，</w:t>
      </w:r>
      <w:r>
        <w:rPr>
          <w:rFonts w:hint="eastAsia" w:asciiTheme="minorEastAsia" w:hAnsiTheme="minorEastAsia" w:eastAsiaTheme="minorEastAsia" w:cstheme="minorEastAsia"/>
          <w:color w:val="auto"/>
        </w:rPr>
        <w:t>属</w:t>
      </w:r>
      <w:r>
        <w:rPr>
          <w:rFonts w:hint="eastAsia" w:asciiTheme="minorEastAsia" w:hAnsiTheme="minorEastAsia" w:eastAsiaTheme="minorEastAsia" w:cstheme="minorEastAsia"/>
          <w:color w:val="auto"/>
          <w:spacing w:val="-39"/>
        </w:rPr>
        <w:t>于</w:t>
      </w:r>
      <w:r>
        <w:rPr>
          <w:rFonts w:hint="eastAsia" w:asciiTheme="minorEastAsia" w:hAnsiTheme="minorEastAsia" w:eastAsiaTheme="minorEastAsia" w:cstheme="minorEastAsia"/>
          <w:color w:val="auto"/>
          <w:u w:val="single"/>
        </w:rPr>
        <w:t>（采购文件中明确的所属行业</w:t>
      </w:r>
      <w:r>
        <w:rPr>
          <w:rFonts w:hint="eastAsia" w:asciiTheme="minorEastAsia" w:hAnsiTheme="minorEastAsia" w:eastAsiaTheme="minorEastAsia" w:cstheme="minorEastAsia"/>
          <w:color w:val="auto"/>
          <w:spacing w:val="-41"/>
          <w:u w:val="single"/>
        </w:rPr>
        <w:t>）</w:t>
      </w:r>
      <w:r>
        <w:rPr>
          <w:rFonts w:hint="eastAsia" w:asciiTheme="minorEastAsia" w:hAnsiTheme="minorEastAsia" w:eastAsiaTheme="minorEastAsia" w:cstheme="minorEastAsia"/>
          <w:color w:val="auto"/>
        </w:rPr>
        <w:t>行业</w:t>
      </w:r>
      <w:r>
        <w:rPr>
          <w:rFonts w:hint="eastAsia" w:asciiTheme="minorEastAsia" w:hAnsiTheme="minorEastAsia" w:eastAsiaTheme="minorEastAsia" w:cstheme="minorEastAsia"/>
          <w:color w:val="auto"/>
          <w:spacing w:val="-39"/>
        </w:rPr>
        <w:t>；</w:t>
      </w:r>
      <w:r>
        <w:rPr>
          <w:rFonts w:hint="eastAsia" w:asciiTheme="minorEastAsia" w:hAnsiTheme="minorEastAsia" w:eastAsiaTheme="minorEastAsia" w:cstheme="minorEastAsia"/>
          <w:color w:val="auto"/>
        </w:rPr>
        <w:t>制造商</w:t>
      </w:r>
      <w:r>
        <w:rPr>
          <w:rFonts w:hint="eastAsia" w:asciiTheme="minorEastAsia" w:hAnsiTheme="minorEastAsia" w:eastAsiaTheme="minorEastAsia" w:cstheme="minorEastAsia"/>
          <w:color w:val="auto"/>
          <w:spacing w:val="-39"/>
        </w:rPr>
        <w:t>为</w:t>
      </w:r>
      <w:r>
        <w:rPr>
          <w:rFonts w:hint="eastAsia" w:asciiTheme="minorEastAsia" w:hAnsiTheme="minorEastAsia" w:eastAsiaTheme="minorEastAsia" w:cstheme="minorEastAsia"/>
          <w:color w:val="auto"/>
          <w:spacing w:val="-1"/>
          <w:u w:val="single"/>
        </w:rPr>
        <w:t>（</w:t>
      </w:r>
      <w:r>
        <w:rPr>
          <w:rFonts w:hint="eastAsia" w:asciiTheme="minorEastAsia" w:hAnsiTheme="minorEastAsia" w:eastAsiaTheme="minorEastAsia" w:cstheme="minorEastAsia"/>
          <w:color w:val="auto"/>
          <w:u w:val="single"/>
        </w:rPr>
        <w:t>企业名称</w:t>
      </w:r>
      <w:r>
        <w:rPr>
          <w:rFonts w:hint="eastAsia" w:asciiTheme="minorEastAsia" w:hAnsiTheme="minorEastAsia" w:eastAsiaTheme="minorEastAsia" w:cstheme="minorEastAsia"/>
          <w:color w:val="auto"/>
          <w:spacing w:val="-127"/>
          <w:u w:val="single"/>
        </w:rPr>
        <w:t>）</w:t>
      </w:r>
      <w:r>
        <w:rPr>
          <w:rFonts w:hint="eastAsia" w:asciiTheme="minorEastAsia" w:hAnsiTheme="minorEastAsia" w:eastAsiaTheme="minorEastAsia" w:cstheme="minorEastAsia"/>
          <w:color w:val="auto"/>
          <w:spacing w:val="-13"/>
        </w:rPr>
        <w:t>，</w:t>
      </w:r>
      <w:r>
        <w:rPr>
          <w:rFonts w:hint="eastAsia" w:asciiTheme="minorEastAsia" w:hAnsiTheme="minorEastAsia" w:eastAsiaTheme="minorEastAsia" w:cstheme="minorEastAsia"/>
          <w:color w:val="auto"/>
        </w:rPr>
        <w:t>从业人员</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人，营业收入为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万元，资产总额为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万元</w:t>
      </w:r>
      <w:r>
        <w:rPr>
          <w:rFonts w:hint="eastAsia" w:asciiTheme="minorEastAsia" w:hAnsiTheme="minorEastAsia" w:eastAsiaTheme="minorEastAsia" w:cstheme="minorEastAsia"/>
          <w:color w:val="auto"/>
          <w:spacing w:val="-60"/>
        </w:rPr>
        <w:t xml:space="preserve"> </w:t>
      </w:r>
      <w:r>
        <w:rPr>
          <w:rFonts w:hint="eastAsia" w:asciiTheme="minorEastAsia" w:hAnsiTheme="minorEastAsia" w:eastAsiaTheme="minorEastAsia" w:cstheme="minorEastAsia"/>
          <w:color w:val="auto"/>
          <w:position w:val="12"/>
          <w:sz w:val="12"/>
        </w:rPr>
        <w:t>1</w:t>
      </w:r>
      <w:r>
        <w:rPr>
          <w:rFonts w:hint="eastAsia" w:asciiTheme="minorEastAsia" w:hAnsiTheme="minorEastAsia" w:eastAsiaTheme="minorEastAsia" w:cstheme="minorEastAsia"/>
          <w:color w:val="auto"/>
        </w:rPr>
        <w:t>， 属于</w:t>
      </w:r>
      <w:r>
        <w:rPr>
          <w:rFonts w:hint="eastAsia" w:asciiTheme="minorEastAsia" w:hAnsiTheme="minorEastAsia" w:eastAsiaTheme="minorEastAsia" w:cstheme="minorEastAsia"/>
          <w:color w:val="auto"/>
          <w:u w:val="single"/>
        </w:rPr>
        <w:t>（中型企业、小型企业、微型企业）</w:t>
      </w:r>
      <w:r>
        <w:rPr>
          <w:rFonts w:hint="eastAsia" w:asciiTheme="minorEastAsia" w:hAnsiTheme="minorEastAsia" w:eastAsiaTheme="minorEastAsia" w:cstheme="minorEastAsia"/>
          <w:color w:val="auto"/>
        </w:rPr>
        <w:t>；</w:t>
      </w:r>
    </w:p>
    <w:p w14:paraId="40969B68">
      <w:pPr>
        <w:pStyle w:val="6"/>
        <w:tabs>
          <w:tab w:val="left" w:pos="2379"/>
          <w:tab w:val="left" w:pos="5228"/>
          <w:tab w:val="left" w:pos="8317"/>
        </w:tabs>
        <w:spacing w:before="1"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w:t>
      </w:r>
      <w:r>
        <w:rPr>
          <w:rFonts w:hint="eastAsia" w:asciiTheme="minorEastAsia" w:hAnsiTheme="minorEastAsia" w:eastAsiaTheme="minorEastAsia" w:cstheme="minorEastAsia"/>
          <w:color w:val="auto"/>
          <w:spacing w:val="-39"/>
        </w:rPr>
        <w:t>.</w:t>
      </w:r>
      <w:r>
        <w:rPr>
          <w:rFonts w:hint="eastAsia" w:asciiTheme="minorEastAsia" w:hAnsiTheme="minorEastAsia" w:eastAsiaTheme="minorEastAsia" w:cstheme="minorEastAsia"/>
          <w:color w:val="auto"/>
          <w:spacing w:val="-3"/>
          <w:u w:val="single"/>
        </w:rPr>
        <w:t>（</w:t>
      </w:r>
      <w:r>
        <w:rPr>
          <w:rFonts w:hint="eastAsia" w:asciiTheme="minorEastAsia" w:hAnsiTheme="minorEastAsia" w:eastAsiaTheme="minorEastAsia" w:cstheme="minorEastAsia"/>
          <w:color w:val="auto"/>
          <w:u w:val="single"/>
        </w:rPr>
        <w:t>标的名称</w:t>
      </w:r>
      <w:r>
        <w:rPr>
          <w:rFonts w:hint="eastAsia" w:asciiTheme="minorEastAsia" w:hAnsiTheme="minorEastAsia" w:eastAsiaTheme="minorEastAsia" w:cstheme="minorEastAsia"/>
          <w:color w:val="auto"/>
          <w:spacing w:val="-39"/>
          <w:u w:val="single"/>
        </w:rPr>
        <w:t>）</w:t>
      </w:r>
      <w:r>
        <w:rPr>
          <w:rFonts w:hint="eastAsia" w:asciiTheme="minorEastAsia" w:hAnsiTheme="minorEastAsia" w:eastAsiaTheme="minorEastAsia" w:cstheme="minorEastAsia"/>
          <w:color w:val="auto"/>
          <w:spacing w:val="-41"/>
        </w:rPr>
        <w:t>，</w:t>
      </w:r>
      <w:r>
        <w:rPr>
          <w:rFonts w:hint="eastAsia" w:asciiTheme="minorEastAsia" w:hAnsiTheme="minorEastAsia" w:eastAsiaTheme="minorEastAsia" w:cstheme="minorEastAsia"/>
          <w:color w:val="auto"/>
        </w:rPr>
        <w:t>属</w:t>
      </w:r>
      <w:r>
        <w:rPr>
          <w:rFonts w:hint="eastAsia" w:asciiTheme="minorEastAsia" w:hAnsiTheme="minorEastAsia" w:eastAsiaTheme="minorEastAsia" w:cstheme="minorEastAsia"/>
          <w:color w:val="auto"/>
          <w:spacing w:val="-39"/>
        </w:rPr>
        <w:t>于</w:t>
      </w:r>
      <w:r>
        <w:rPr>
          <w:rFonts w:hint="eastAsia" w:asciiTheme="minorEastAsia" w:hAnsiTheme="minorEastAsia" w:eastAsiaTheme="minorEastAsia" w:cstheme="minorEastAsia"/>
          <w:color w:val="auto"/>
          <w:u w:val="single"/>
        </w:rPr>
        <w:t>（采购文件中明确的所属行业</w:t>
      </w:r>
      <w:r>
        <w:rPr>
          <w:rFonts w:hint="eastAsia" w:asciiTheme="minorEastAsia" w:hAnsiTheme="minorEastAsia" w:eastAsiaTheme="minorEastAsia" w:cstheme="minorEastAsia"/>
          <w:color w:val="auto"/>
          <w:spacing w:val="-41"/>
          <w:u w:val="single"/>
        </w:rPr>
        <w:t>）</w:t>
      </w:r>
      <w:r>
        <w:rPr>
          <w:rFonts w:hint="eastAsia" w:asciiTheme="minorEastAsia" w:hAnsiTheme="minorEastAsia" w:eastAsiaTheme="minorEastAsia" w:cstheme="minorEastAsia"/>
          <w:color w:val="auto"/>
        </w:rPr>
        <w:t>行业</w:t>
      </w:r>
      <w:r>
        <w:rPr>
          <w:rFonts w:hint="eastAsia" w:asciiTheme="minorEastAsia" w:hAnsiTheme="minorEastAsia" w:eastAsiaTheme="minorEastAsia" w:cstheme="minorEastAsia"/>
          <w:color w:val="auto"/>
          <w:spacing w:val="-39"/>
        </w:rPr>
        <w:t>；</w:t>
      </w:r>
      <w:r>
        <w:rPr>
          <w:rFonts w:hint="eastAsia" w:asciiTheme="minorEastAsia" w:hAnsiTheme="minorEastAsia" w:eastAsiaTheme="minorEastAsia" w:cstheme="minorEastAsia"/>
          <w:color w:val="auto"/>
        </w:rPr>
        <w:t>制造商</w:t>
      </w:r>
      <w:r>
        <w:rPr>
          <w:rFonts w:hint="eastAsia" w:asciiTheme="minorEastAsia" w:hAnsiTheme="minorEastAsia" w:eastAsiaTheme="minorEastAsia" w:cstheme="minorEastAsia"/>
          <w:color w:val="auto"/>
          <w:spacing w:val="-39"/>
        </w:rPr>
        <w:t>为</w:t>
      </w:r>
      <w:r>
        <w:rPr>
          <w:rFonts w:hint="eastAsia" w:asciiTheme="minorEastAsia" w:hAnsiTheme="minorEastAsia" w:eastAsiaTheme="minorEastAsia" w:cstheme="minorEastAsia"/>
          <w:color w:val="auto"/>
          <w:spacing w:val="-1"/>
          <w:u w:val="single"/>
        </w:rPr>
        <w:t>（</w:t>
      </w:r>
      <w:r>
        <w:rPr>
          <w:rFonts w:hint="eastAsia" w:asciiTheme="minorEastAsia" w:hAnsiTheme="minorEastAsia" w:eastAsiaTheme="minorEastAsia" w:cstheme="minorEastAsia"/>
          <w:color w:val="auto"/>
          <w:u w:val="single"/>
        </w:rPr>
        <w:t>企业名称</w:t>
      </w:r>
      <w:r>
        <w:rPr>
          <w:rFonts w:hint="eastAsia" w:asciiTheme="minorEastAsia" w:hAnsiTheme="minorEastAsia" w:eastAsiaTheme="minorEastAsia" w:cstheme="minorEastAsia"/>
          <w:color w:val="auto"/>
          <w:spacing w:val="-127"/>
          <w:u w:val="single"/>
        </w:rPr>
        <w:t>）</w:t>
      </w:r>
      <w:r>
        <w:rPr>
          <w:rFonts w:hint="eastAsia" w:asciiTheme="minorEastAsia" w:hAnsiTheme="minorEastAsia" w:eastAsiaTheme="minorEastAsia" w:cstheme="minorEastAsia"/>
          <w:color w:val="auto"/>
          <w:spacing w:val="-13"/>
        </w:rPr>
        <w:t>，</w:t>
      </w:r>
      <w:r>
        <w:rPr>
          <w:rFonts w:hint="eastAsia" w:asciiTheme="minorEastAsia" w:hAnsiTheme="minorEastAsia" w:eastAsiaTheme="minorEastAsia" w:cstheme="minorEastAsia"/>
          <w:color w:val="auto"/>
        </w:rPr>
        <w:t>从业人员</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人</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rPr>
        <w:t>营业收入为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万元</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rPr>
        <w:t>资产总额为</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rPr>
        <w:t>万元</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rPr>
        <w:t>属于</w:t>
      </w:r>
      <w:r>
        <w:rPr>
          <w:rFonts w:hint="eastAsia" w:asciiTheme="minorEastAsia" w:hAnsiTheme="minorEastAsia" w:eastAsiaTheme="minorEastAsia" w:cstheme="minorEastAsia"/>
          <w:color w:val="auto"/>
          <w:u w:val="single"/>
        </w:rPr>
        <w:t>（中型企业、小型企业、微型企业）</w:t>
      </w:r>
      <w:r>
        <w:rPr>
          <w:rFonts w:hint="eastAsia" w:asciiTheme="minorEastAsia" w:hAnsiTheme="minorEastAsia" w:eastAsiaTheme="minorEastAsia" w:cstheme="minorEastAsia"/>
          <w:color w:val="auto"/>
        </w:rPr>
        <w:t>；</w:t>
      </w:r>
    </w:p>
    <w:p w14:paraId="5D2638AD">
      <w:pPr>
        <w:pStyle w:val="6"/>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w:t>
      </w:r>
    </w:p>
    <w:p w14:paraId="37FD967B">
      <w:pPr>
        <w:pStyle w:val="6"/>
        <w:spacing w:before="16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10"/>
        </w:rPr>
        <w:t>以上企业，不属于大企业的分支机构，不存在控股股东为大企业的情形，也不存在</w:t>
      </w:r>
      <w:r>
        <w:rPr>
          <w:rFonts w:hint="eastAsia" w:asciiTheme="minorEastAsia" w:hAnsiTheme="minorEastAsia" w:eastAsiaTheme="minorEastAsia" w:cstheme="minorEastAsia"/>
          <w:color w:val="auto"/>
        </w:rPr>
        <w:t>与大企业的负责人为同一人的情形。</w:t>
      </w:r>
    </w:p>
    <w:p w14:paraId="18A41C44">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本企业对上述声明内容的真实性负责。如有虚假，将依法承担相应责任。</w:t>
      </w:r>
    </w:p>
    <w:p w14:paraId="5D3198BA">
      <w:pPr>
        <w:pStyle w:val="6"/>
        <w:tabs>
          <w:tab w:val="left" w:pos="7566"/>
          <w:tab w:val="left" w:pos="8286"/>
          <w:tab w:val="left" w:pos="9006"/>
        </w:tabs>
        <w:spacing w:before="160"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05B1A656">
      <w:pPr>
        <w:pStyle w:val="6"/>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57D1D7B4">
      <w:pPr>
        <w:pStyle w:val="6"/>
        <w:spacing w:before="160"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1、从业人员、营业收入、资产总额填报上一年度数据，无上一年度数据的新成立企业可不填报。</w:t>
      </w:r>
    </w:p>
    <w:p w14:paraId="0894ECE5">
      <w:pPr>
        <w:pStyle w:val="6"/>
        <w:spacing w:before="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w:t>
      </w:r>
      <w:r>
        <w:rPr>
          <w:rFonts w:hint="eastAsia" w:asciiTheme="minorEastAsia" w:hAnsiTheme="minorEastAsia" w:eastAsiaTheme="minorEastAsia" w:cstheme="minorEastAsia"/>
          <w:color w:val="auto"/>
          <w:spacing w:val="-1"/>
        </w:rPr>
        <w:t>、投标人须按招标文件中明确的所属行业填列，多品目项目中须按上表要求逐条</w:t>
      </w:r>
      <w:r>
        <w:rPr>
          <w:rFonts w:hint="eastAsia" w:asciiTheme="minorEastAsia" w:hAnsiTheme="minorEastAsia" w:eastAsiaTheme="minorEastAsia" w:cstheme="minorEastAsia"/>
          <w:color w:val="auto"/>
          <w:spacing w:val="-11"/>
        </w:rPr>
        <w:t>填列，否则，其提供的中小企业声明将被判定为无效声明函，由此造成的后果由投标人</w:t>
      </w:r>
      <w:r>
        <w:rPr>
          <w:rFonts w:hint="eastAsia" w:asciiTheme="minorEastAsia" w:hAnsiTheme="minorEastAsia" w:eastAsiaTheme="minorEastAsia" w:cstheme="minorEastAsia"/>
          <w:color w:val="auto"/>
        </w:rPr>
        <w:t>自行承担（涉及资格的按无效投标处理；涉及价格评审优惠的，不予认定）。</w:t>
      </w:r>
    </w:p>
    <w:p w14:paraId="07D10325">
      <w:pPr>
        <w:pStyle w:val="6"/>
        <w:spacing w:before="2"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w:t>
      </w:r>
      <w:r>
        <w:rPr>
          <w:rFonts w:hint="eastAsia" w:asciiTheme="minorEastAsia" w:hAnsiTheme="minorEastAsia" w:eastAsiaTheme="minorEastAsia" w:cstheme="minorEastAsia"/>
          <w:color w:val="auto"/>
          <w:spacing w:val="-1"/>
        </w:rPr>
        <w:t>、投标人应当对其出具的《中小企业声明函》真实性负责，投标人出具的《中小</w:t>
      </w:r>
      <w:r>
        <w:rPr>
          <w:rFonts w:hint="eastAsia" w:asciiTheme="minorEastAsia" w:hAnsiTheme="minorEastAsia" w:eastAsiaTheme="minorEastAsia" w:cstheme="minorEastAsia"/>
          <w:color w:val="auto"/>
          <w:spacing w:val="-9"/>
        </w:rPr>
        <w:t>企业声明函》内容不实的，属于提供虚假材料谋取中标。在实际操作中，项目属性为货</w:t>
      </w:r>
      <w:r>
        <w:rPr>
          <w:rFonts w:hint="eastAsia" w:asciiTheme="minorEastAsia" w:hAnsiTheme="minorEastAsia" w:eastAsiaTheme="minorEastAsia" w:cstheme="minorEastAsia"/>
          <w:color w:val="auto"/>
          <w:spacing w:val="-5"/>
        </w:rPr>
        <w:t>物且投标人希望获得中小企业政策支持的，应从制造商处获得充分、准确的信息。对相</w:t>
      </w:r>
    </w:p>
    <w:p w14:paraId="0AC568AD">
      <w:pPr>
        <w:spacing w:after="0" w:line="364" w:lineRule="auto"/>
        <w:jc w:val="both"/>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41478F45">
      <w:pPr>
        <w:pStyle w:val="6"/>
        <w:spacing w:before="42" w:line="364" w:lineRule="auto"/>
        <w:ind w:right="577"/>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6"/>
        </w:rPr>
        <w:t>关制造商信息了解不充分，或者不能确定相关信息真实、准确的，不建议出具《中小企</w:t>
      </w:r>
      <w:r>
        <w:rPr>
          <w:rFonts w:hint="eastAsia" w:asciiTheme="minorEastAsia" w:hAnsiTheme="minorEastAsia" w:eastAsiaTheme="minorEastAsia" w:cstheme="minorEastAsia"/>
          <w:color w:val="auto"/>
        </w:rPr>
        <w:t>业声明函》。</w:t>
      </w:r>
    </w:p>
    <w:p w14:paraId="4170B592">
      <w:pPr>
        <w:pStyle w:val="4"/>
        <w:spacing w:before="162"/>
        <w:ind w:left="2068"/>
        <w:rPr>
          <w:rFonts w:hint="eastAsia" w:asciiTheme="minorEastAsia" w:hAnsiTheme="minorEastAsia" w:eastAsiaTheme="minorEastAsia" w:cstheme="minorEastAsia"/>
          <w:color w:val="auto"/>
        </w:rPr>
      </w:pPr>
      <w:bookmarkStart w:id="95" w:name="三-2-②小型、微型企业等证明材料（价格扣除适用，若有）"/>
      <w:bookmarkEnd w:id="95"/>
      <w:r>
        <w:rPr>
          <w:rFonts w:hint="eastAsia" w:asciiTheme="minorEastAsia" w:hAnsiTheme="minorEastAsia" w:eastAsiaTheme="minorEastAsia" w:cstheme="minorEastAsia"/>
          <w:color w:val="auto"/>
        </w:rPr>
        <w:t>三-2-②小型、微型企业等证明材料（价格扣除适用，若有）</w:t>
      </w:r>
    </w:p>
    <w:p w14:paraId="22E4479B">
      <w:pPr>
        <w:pStyle w:val="6"/>
        <w:spacing w:before="160"/>
        <w:ind w:left="449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编制说明</w:t>
      </w:r>
    </w:p>
    <w:p w14:paraId="2ACCA50C">
      <w:pPr>
        <w:pStyle w:val="6"/>
        <w:spacing w:before="16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1、投标人应按照招标文件要求提供相应证明材料，证明材料应与《中小企业声明函》的内容相一致，否则视为《中小企业声明函》内容不真实。</w:t>
      </w:r>
    </w:p>
    <w:p w14:paraId="1BB48C42">
      <w:pPr>
        <w:pStyle w:val="6"/>
        <w:spacing w:before="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2、投标人为监狱企业的，根据其提供的由省级以上监狱管理局、戒毒管理局（</w:t>
      </w:r>
      <w:r>
        <w:rPr>
          <w:rFonts w:hint="eastAsia" w:asciiTheme="minorEastAsia" w:hAnsiTheme="minorEastAsia" w:eastAsiaTheme="minorEastAsia" w:cstheme="minorEastAsia"/>
          <w:color w:val="auto"/>
          <w:spacing w:val="-13"/>
        </w:rPr>
        <w:t>含</w:t>
      </w:r>
      <w:r>
        <w:rPr>
          <w:rFonts w:hint="eastAsia" w:asciiTheme="minorEastAsia" w:hAnsiTheme="minorEastAsia" w:eastAsiaTheme="minorEastAsia" w:cstheme="minorEastAsia"/>
          <w:color w:val="auto"/>
        </w:rPr>
        <w:t>新疆生产建设兵团</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spacing w:val="-5"/>
        </w:rPr>
        <w:t>出具的属于监狱企业的证明文件进行认定，监狱企业视同小型、微</w:t>
      </w:r>
      <w:r>
        <w:rPr>
          <w:rFonts w:hint="eastAsia" w:asciiTheme="minorEastAsia" w:hAnsiTheme="minorEastAsia" w:eastAsiaTheme="minorEastAsia" w:cstheme="minorEastAsia"/>
          <w:color w:val="auto"/>
        </w:rPr>
        <w:t>型企业。</w:t>
      </w:r>
    </w:p>
    <w:p w14:paraId="2C7D29EB">
      <w:pPr>
        <w:pStyle w:val="6"/>
        <w:spacing w:before="2"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w:t>
      </w:r>
      <w:r>
        <w:rPr>
          <w:rFonts w:hint="eastAsia" w:asciiTheme="minorEastAsia" w:hAnsiTheme="minorEastAsia" w:eastAsiaTheme="minorEastAsia" w:cstheme="minorEastAsia"/>
          <w:color w:val="auto"/>
          <w:spacing w:val="-15"/>
        </w:rPr>
        <w:t>、投标人为残疾人福利性单位的，根据其提供的《残疾人福利性单位声明函》</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15"/>
        </w:rPr>
        <w:t>格</w:t>
      </w:r>
      <w:r>
        <w:rPr>
          <w:rFonts w:hint="eastAsia" w:asciiTheme="minorEastAsia" w:hAnsiTheme="minorEastAsia" w:eastAsiaTheme="minorEastAsia" w:cstheme="minorEastAsia"/>
          <w:color w:val="auto"/>
        </w:rPr>
        <w:t>式附后</w:t>
      </w:r>
      <w:r>
        <w:rPr>
          <w:rFonts w:hint="eastAsia" w:asciiTheme="minorEastAsia" w:hAnsiTheme="minorEastAsia" w:eastAsiaTheme="minorEastAsia" w:cstheme="minorEastAsia"/>
          <w:color w:val="auto"/>
          <w:spacing w:val="-24"/>
        </w:rPr>
        <w:t>）</w:t>
      </w:r>
      <w:r>
        <w:rPr>
          <w:rFonts w:hint="eastAsia" w:asciiTheme="minorEastAsia" w:hAnsiTheme="minorEastAsia" w:eastAsiaTheme="minorEastAsia" w:cstheme="minorEastAsia"/>
          <w:color w:val="auto"/>
          <w:spacing w:val="-9"/>
        </w:rPr>
        <w:t>进行认定，残疾人福利性单位视同小型、微型企业。残疾人福利性单位属于小</w:t>
      </w:r>
      <w:r>
        <w:rPr>
          <w:rFonts w:hint="eastAsia" w:asciiTheme="minorEastAsia" w:hAnsiTheme="minorEastAsia" w:eastAsiaTheme="minorEastAsia" w:cstheme="minorEastAsia"/>
          <w:color w:val="auto"/>
        </w:rPr>
        <w:t>型、微型企业的，不重复享受政策。</w:t>
      </w:r>
    </w:p>
    <w:p w14:paraId="16C62638">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附：</w:t>
      </w:r>
    </w:p>
    <w:p w14:paraId="1D767034">
      <w:pPr>
        <w:pStyle w:val="4"/>
        <w:spacing w:before="161"/>
        <w:ind w:left="2562"/>
        <w:rPr>
          <w:rFonts w:hint="eastAsia" w:asciiTheme="minorEastAsia" w:hAnsiTheme="minorEastAsia" w:eastAsiaTheme="minorEastAsia" w:cstheme="minorEastAsia"/>
          <w:color w:val="auto"/>
        </w:rPr>
      </w:pPr>
      <w:bookmarkStart w:id="96" w:name="残疾人福利性单位声明函（价格扣除适用，若有）"/>
      <w:bookmarkEnd w:id="96"/>
      <w:r>
        <w:rPr>
          <w:rFonts w:hint="eastAsia" w:asciiTheme="minorEastAsia" w:hAnsiTheme="minorEastAsia" w:eastAsiaTheme="minorEastAsia" w:cstheme="minorEastAsia"/>
          <w:color w:val="auto"/>
        </w:rPr>
        <w:t>残疾人福利性单位声明函（价格扣除适用，若有）</w:t>
      </w:r>
    </w:p>
    <w:p w14:paraId="22B6A2F3">
      <w:pPr>
        <w:pStyle w:val="6"/>
        <w:spacing w:before="160"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本投标人郑重声明，根据《财政部 民政部        中国残疾人联合会关于促进残疾人就业政府采购政策的通知》（财库[2017]141 号）、《政府采购促进中小企业发展管理办法》（财库〔2020〕46 号）的规定，本投标人为符合条件的残疾人福利性单位，且本投标人参加贵单位的（填写“项目名称”）项目采购活动：</w:t>
      </w:r>
    </w:p>
    <w:p w14:paraId="3E192584">
      <w:pPr>
        <w:pStyle w:val="6"/>
        <w:tabs>
          <w:tab w:val="left" w:pos="2019"/>
        </w:tabs>
        <w:spacing w:before="3" w:line="364" w:lineRule="auto"/>
        <w:ind w:right="45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rPr>
        <w:tab/>
      </w:r>
      <w:r>
        <w:rPr>
          <w:rFonts w:hint="eastAsia" w:asciiTheme="minorEastAsia" w:hAnsiTheme="minorEastAsia" w:eastAsiaTheme="minorEastAsia" w:cstheme="minorEastAsia"/>
          <w:color w:val="auto"/>
        </w:rPr>
        <w:t>）提供本投标人制造的（填写“所投采购包、品目号”）货物，或提</w:t>
      </w:r>
      <w:r>
        <w:rPr>
          <w:rFonts w:hint="eastAsia" w:asciiTheme="minorEastAsia" w:hAnsiTheme="minorEastAsia" w:eastAsiaTheme="minorEastAsia" w:cstheme="minorEastAsia"/>
          <w:color w:val="auto"/>
          <w:spacing w:val="-2"/>
        </w:rPr>
        <w:t>供其他残疾人福利性单位制造的</w:t>
      </w:r>
      <w:r>
        <w:rPr>
          <w:rFonts w:hint="eastAsia" w:asciiTheme="minorEastAsia" w:hAnsiTheme="minorEastAsia" w:eastAsiaTheme="minorEastAsia" w:cstheme="minorEastAsia"/>
          <w:color w:val="auto"/>
          <w:spacing w:val="-3"/>
        </w:rPr>
        <w:t>（</w:t>
      </w:r>
      <w:r>
        <w:rPr>
          <w:rFonts w:hint="eastAsia" w:asciiTheme="minorEastAsia" w:hAnsiTheme="minorEastAsia" w:eastAsiaTheme="minorEastAsia" w:cstheme="minorEastAsia"/>
          <w:color w:val="auto"/>
          <w:spacing w:val="-7"/>
        </w:rPr>
        <w:t>填写“所投采购包、品目号”</w:t>
      </w:r>
      <w:r>
        <w:rPr>
          <w:rFonts w:hint="eastAsia" w:asciiTheme="minorEastAsia" w:hAnsiTheme="minorEastAsia" w:eastAsiaTheme="minorEastAsia" w:cstheme="minorEastAsia"/>
          <w:color w:val="auto"/>
          <w:spacing w:val="-16"/>
        </w:rPr>
        <w:t>）</w:t>
      </w:r>
      <w:r>
        <w:rPr>
          <w:rFonts w:hint="eastAsia" w:asciiTheme="minorEastAsia" w:hAnsiTheme="minorEastAsia" w:eastAsiaTheme="minorEastAsia" w:cstheme="minorEastAsia"/>
          <w:color w:val="auto"/>
          <w:spacing w:val="-8"/>
        </w:rPr>
        <w:t>货物</w:t>
      </w:r>
      <w:r>
        <w:rPr>
          <w:rFonts w:hint="eastAsia" w:asciiTheme="minorEastAsia" w:hAnsiTheme="minorEastAsia" w:eastAsiaTheme="minorEastAsia" w:cstheme="minorEastAsia"/>
          <w:color w:val="auto"/>
        </w:rPr>
        <w:t>（不包括使用非残疾人福利性单位注册商标的货物</w:t>
      </w:r>
      <w:r>
        <w:rPr>
          <w:rFonts w:hint="eastAsia" w:asciiTheme="minorEastAsia" w:hAnsiTheme="minorEastAsia" w:eastAsiaTheme="minorEastAsia" w:cstheme="minorEastAsia"/>
          <w:color w:val="auto"/>
          <w:spacing w:val="-56"/>
        </w:rPr>
        <w:t>）</w:t>
      </w:r>
      <w:r>
        <w:rPr>
          <w:rFonts w:hint="eastAsia" w:asciiTheme="minorEastAsia" w:hAnsiTheme="minorEastAsia" w:eastAsiaTheme="minorEastAsia" w:cstheme="minorEastAsia"/>
          <w:color w:val="auto"/>
          <w:spacing w:val="-106"/>
        </w:rPr>
        <w:t>。</w:t>
      </w: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spacing w:val="-9"/>
        </w:rPr>
        <w:t xml:space="preserve">说明：只有部分货物由残疾人福利企业制造的， </w:t>
      </w:r>
      <w:r>
        <w:rPr>
          <w:rFonts w:hint="eastAsia" w:asciiTheme="minorEastAsia" w:hAnsiTheme="minorEastAsia" w:eastAsiaTheme="minorEastAsia" w:cstheme="minorEastAsia"/>
          <w:color w:val="auto"/>
        </w:rPr>
        <w:t>在该货物后标★）</w:t>
      </w:r>
    </w:p>
    <w:p w14:paraId="04E3D733">
      <w:pPr>
        <w:pStyle w:val="6"/>
        <w:spacing w:before="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）由本投标人承建的（填写“所投采购包、品目号”）工程</w:t>
      </w:r>
    </w:p>
    <w:p w14:paraId="68F30D26">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 ）由本投标人承接的（填写“所投采购包、品目号”）服务；</w:t>
      </w:r>
    </w:p>
    <w:p w14:paraId="02AE1ED5">
      <w:pPr>
        <w:pStyle w:val="6"/>
        <w:spacing w:before="160" w:line="364" w:lineRule="auto"/>
        <w:ind w:left="700" w:right="168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本投标人对上述声明的真实性负责。如有虚假，将依法承担相应责任。备注：</w:t>
      </w:r>
    </w:p>
    <w:p w14:paraId="21EA80E0">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1、请投标人按照实际情况编制填写本声明函，并在相应的（）中打“√”。</w:t>
      </w:r>
    </w:p>
    <w:p w14:paraId="5A7FB8E7">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2、若《残疾人福利性单位声明函》内容不真实，视为提供虚假材料。</w:t>
      </w:r>
    </w:p>
    <w:p w14:paraId="1A0AD7C0">
      <w:pPr>
        <w:spacing w:after="0"/>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383E50C0">
      <w:pPr>
        <w:pStyle w:val="6"/>
        <w:tabs>
          <w:tab w:val="left" w:pos="7566"/>
          <w:tab w:val="left" w:pos="8286"/>
          <w:tab w:val="left" w:pos="9006"/>
        </w:tabs>
        <w:spacing w:before="42"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472EFA47">
      <w:pPr>
        <w:pStyle w:val="6"/>
        <w:spacing w:before="213"/>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附：</w:t>
      </w:r>
    </w:p>
    <w:p w14:paraId="0A56E1D9">
      <w:pPr>
        <w:pStyle w:val="4"/>
        <w:spacing w:before="160"/>
        <w:ind w:left="1343" w:right="743"/>
        <w:jc w:val="center"/>
        <w:rPr>
          <w:rFonts w:hint="eastAsia" w:asciiTheme="minorEastAsia" w:hAnsiTheme="minorEastAsia" w:eastAsiaTheme="minorEastAsia" w:cstheme="minorEastAsia"/>
          <w:color w:val="auto"/>
        </w:rPr>
      </w:pPr>
      <w:bookmarkStart w:id="97" w:name="监狱企业证明材料"/>
      <w:bookmarkEnd w:id="97"/>
      <w:r>
        <w:rPr>
          <w:rFonts w:hint="eastAsia" w:asciiTheme="minorEastAsia" w:hAnsiTheme="minorEastAsia" w:eastAsiaTheme="minorEastAsia" w:cstheme="minorEastAsia"/>
          <w:color w:val="auto"/>
        </w:rPr>
        <w:t>监狱企业证明材料</w:t>
      </w:r>
    </w:p>
    <w:p w14:paraId="0F566FAA">
      <w:pPr>
        <w:pStyle w:val="6"/>
        <w:spacing w:before="16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5"/>
        </w:rPr>
        <w:t>投标人为监狱企业，提供本单位制造的货物</w:t>
      </w:r>
      <w:r>
        <w:rPr>
          <w:rFonts w:hint="eastAsia" w:asciiTheme="minorEastAsia" w:hAnsiTheme="minorEastAsia" w:eastAsiaTheme="minorEastAsia" w:cstheme="minorEastAsia"/>
          <w:color w:val="auto"/>
        </w:rPr>
        <w:t>（承接的服务</w:t>
      </w:r>
      <w:r>
        <w:rPr>
          <w:rFonts w:hint="eastAsia" w:asciiTheme="minorEastAsia" w:hAnsiTheme="minorEastAsia" w:eastAsiaTheme="minorEastAsia" w:cstheme="minorEastAsia"/>
          <w:color w:val="auto"/>
          <w:spacing w:val="-23"/>
        </w:rPr>
        <w:t>）</w:t>
      </w:r>
      <w:r>
        <w:rPr>
          <w:rFonts w:hint="eastAsia" w:asciiTheme="minorEastAsia" w:hAnsiTheme="minorEastAsia" w:eastAsiaTheme="minorEastAsia" w:cstheme="minorEastAsia"/>
          <w:color w:val="auto"/>
          <w:spacing w:val="-7"/>
        </w:rPr>
        <w:t>，并在投标文件中提供</w:t>
      </w:r>
      <w:r>
        <w:rPr>
          <w:rFonts w:hint="eastAsia" w:asciiTheme="minorEastAsia" w:hAnsiTheme="minorEastAsia" w:eastAsiaTheme="minorEastAsia" w:cstheme="minorEastAsia"/>
          <w:color w:val="auto"/>
          <w:spacing w:val="-6"/>
        </w:rPr>
        <w:t>省级以上监狱管理局、戒毒管理局</w:t>
      </w:r>
      <w:r>
        <w:rPr>
          <w:rFonts w:hint="eastAsia" w:asciiTheme="minorEastAsia" w:hAnsiTheme="minorEastAsia" w:eastAsiaTheme="minorEastAsia" w:cstheme="minorEastAsia"/>
          <w:color w:val="auto"/>
        </w:rPr>
        <w:t>（含新疆生产建设兵团</w:t>
      </w:r>
      <w:r>
        <w:rPr>
          <w:rFonts w:hint="eastAsia" w:asciiTheme="minorEastAsia" w:hAnsiTheme="minorEastAsia" w:eastAsiaTheme="minorEastAsia" w:cstheme="minorEastAsia"/>
          <w:color w:val="auto"/>
          <w:spacing w:val="-32"/>
        </w:rPr>
        <w:t>）</w:t>
      </w:r>
      <w:r>
        <w:rPr>
          <w:rFonts w:hint="eastAsia" w:asciiTheme="minorEastAsia" w:hAnsiTheme="minorEastAsia" w:eastAsiaTheme="minorEastAsia" w:cstheme="minorEastAsia"/>
          <w:color w:val="auto"/>
          <w:spacing w:val="-2"/>
        </w:rPr>
        <w:t>出具的属于监狱企业的证明</w:t>
      </w:r>
      <w:r>
        <w:rPr>
          <w:rFonts w:hint="eastAsia" w:asciiTheme="minorEastAsia" w:hAnsiTheme="minorEastAsia" w:eastAsiaTheme="minorEastAsia" w:cstheme="minorEastAsia"/>
          <w:color w:val="auto"/>
        </w:rPr>
        <w:t>文件。</w:t>
      </w:r>
    </w:p>
    <w:p w14:paraId="15C77B22">
      <w:pPr>
        <w:pStyle w:val="4"/>
        <w:spacing w:before="162"/>
        <w:ind w:left="2435"/>
        <w:rPr>
          <w:rFonts w:hint="eastAsia" w:asciiTheme="minorEastAsia" w:hAnsiTheme="minorEastAsia" w:eastAsiaTheme="minorEastAsia" w:cstheme="minorEastAsia"/>
          <w:color w:val="auto"/>
        </w:rPr>
      </w:pPr>
      <w:bookmarkStart w:id="98" w:name="三-3招标文件规定的其他价格扣除证明材料（若有）"/>
      <w:bookmarkEnd w:id="98"/>
      <w:r>
        <w:rPr>
          <w:rFonts w:hint="eastAsia" w:asciiTheme="minorEastAsia" w:hAnsiTheme="minorEastAsia" w:eastAsiaTheme="minorEastAsia" w:cstheme="minorEastAsia"/>
          <w:color w:val="auto"/>
        </w:rPr>
        <w:t>三-3 招标文件规定的其他价格扣除证明材料（若有）</w:t>
      </w:r>
    </w:p>
    <w:p w14:paraId="2062531C">
      <w:pPr>
        <w:pStyle w:val="6"/>
        <w:spacing w:before="161"/>
        <w:ind w:left="449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编制说明</w:t>
      </w:r>
    </w:p>
    <w:p w14:paraId="463F2A22">
      <w:pPr>
        <w:pStyle w:val="6"/>
        <w:spacing w:before="160" w:line="364" w:lineRule="auto"/>
        <w:ind w:right="485"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若投标人可享受招标文件规定的除“节能（非强制类）</w:t>
      </w:r>
      <w:r>
        <w:rPr>
          <w:rFonts w:hint="eastAsia" w:asciiTheme="minorEastAsia" w:hAnsiTheme="minorEastAsia" w:eastAsiaTheme="minorEastAsia" w:cstheme="minorEastAsia"/>
          <w:color w:val="auto"/>
          <w:spacing w:val="-2"/>
        </w:rPr>
        <w:t xml:space="preserve">、环境标志产品价格扣除” </w:t>
      </w:r>
      <w:r>
        <w:rPr>
          <w:rFonts w:hint="eastAsia" w:asciiTheme="minorEastAsia" w:hAnsiTheme="minorEastAsia" w:eastAsiaTheme="minorEastAsia" w:cstheme="minorEastAsia"/>
          <w:color w:val="auto"/>
          <w:spacing w:val="-9"/>
        </w:rPr>
        <w:t>及“小型、微型企业产品等价格扣除”外的其他价格扣除优惠，则投标人应按照招标文件要求提供相应证明材料。</w:t>
      </w:r>
    </w:p>
    <w:p w14:paraId="41021097">
      <w:pPr>
        <w:pStyle w:val="4"/>
        <w:spacing w:before="162"/>
        <w:ind w:left="0" w:leftChars="0" w:firstLine="0" w:firstLineChars="0"/>
        <w:jc w:val="center"/>
        <w:rPr>
          <w:rFonts w:hint="eastAsia" w:asciiTheme="minorEastAsia" w:hAnsiTheme="minorEastAsia" w:eastAsiaTheme="minorEastAsia" w:cstheme="minorEastAsia"/>
          <w:color w:val="auto"/>
        </w:rPr>
      </w:pPr>
      <w:bookmarkStart w:id="99" w:name="四、招标文件规定的加分证明材料（若有）"/>
      <w:bookmarkEnd w:id="99"/>
      <w:r>
        <w:rPr>
          <w:rFonts w:hint="eastAsia" w:asciiTheme="minorEastAsia" w:hAnsiTheme="minorEastAsia" w:eastAsiaTheme="minorEastAsia" w:cstheme="minorEastAsia"/>
          <w:color w:val="auto"/>
        </w:rPr>
        <w:t>四、招标文件规定的加分证明材料（若有）</w:t>
      </w:r>
    </w:p>
    <w:p w14:paraId="44E7A72D">
      <w:pPr>
        <w:spacing w:before="161"/>
        <w:ind w:right="0"/>
        <w:jc w:val="center"/>
        <w:rPr>
          <w:rFonts w:hint="eastAsia" w:asciiTheme="minorEastAsia" w:hAnsiTheme="minorEastAsia" w:eastAsiaTheme="minorEastAsia" w:cstheme="minorEastAsia"/>
          <w:b/>
          <w:color w:val="auto"/>
          <w:sz w:val="24"/>
        </w:rPr>
      </w:pPr>
      <w:bookmarkStart w:id="100" w:name="四-1优先类节能产品、环境标志产品加分证明材料（若有）"/>
      <w:bookmarkEnd w:id="100"/>
      <w:r>
        <w:rPr>
          <w:rFonts w:hint="eastAsia" w:asciiTheme="minorEastAsia" w:hAnsiTheme="minorEastAsia" w:eastAsiaTheme="minorEastAsia" w:cstheme="minorEastAsia"/>
          <w:b/>
          <w:color w:val="auto"/>
          <w:sz w:val="24"/>
        </w:rPr>
        <w:t>四-1 优先类节能产品、环境标志产品加分证明材料（若有）</w:t>
      </w:r>
    </w:p>
    <w:p w14:paraId="3FC654F6">
      <w:pPr>
        <w:tabs>
          <w:tab w:val="left" w:pos="3879"/>
        </w:tabs>
        <w:spacing w:before="160" w:line="364" w:lineRule="auto"/>
        <w:ind w:right="150" w:rightChars="0"/>
        <w:jc w:val="center"/>
        <w:rPr>
          <w:rFonts w:hint="eastAsia" w:asciiTheme="minorEastAsia" w:hAnsiTheme="minorEastAsia" w:eastAsiaTheme="minorEastAsia" w:cstheme="minorEastAsia"/>
          <w:b/>
          <w:color w:val="auto"/>
          <w:spacing w:val="-11"/>
          <w:sz w:val="24"/>
        </w:rPr>
      </w:pPr>
      <w:bookmarkStart w:id="101" w:name="四-1-①优先类节能产品、环境标志产品统计表（加分适用，若有）"/>
      <w:bookmarkEnd w:id="101"/>
      <w:r>
        <w:rPr>
          <w:rFonts w:hint="eastAsia" w:asciiTheme="minorEastAsia" w:hAnsiTheme="minorEastAsia" w:eastAsiaTheme="minorEastAsia" w:cstheme="minorEastAsia"/>
          <w:b/>
          <w:color w:val="auto"/>
          <w:sz w:val="24"/>
        </w:rPr>
        <w:t>四-1-①优先类节能产品、环境标志产品统计表（加分适用，若有</w:t>
      </w:r>
      <w:r>
        <w:rPr>
          <w:rFonts w:hint="eastAsia" w:asciiTheme="minorEastAsia" w:hAnsiTheme="minorEastAsia" w:eastAsiaTheme="minorEastAsia" w:cstheme="minorEastAsia"/>
          <w:b/>
          <w:color w:val="auto"/>
          <w:spacing w:val="-11"/>
          <w:sz w:val="24"/>
        </w:rPr>
        <w:t>）</w:t>
      </w:r>
    </w:p>
    <w:p w14:paraId="22236C49">
      <w:pPr>
        <w:tabs>
          <w:tab w:val="left" w:pos="3879"/>
        </w:tabs>
        <w:spacing w:before="160" w:line="364" w:lineRule="auto"/>
        <w:ind w:right="1105"/>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项目编号：</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rPr>
        <w:tab/>
      </w:r>
    </w:p>
    <w:p w14:paraId="0A1F23AD">
      <w:pPr>
        <w:pStyle w:val="6"/>
        <w:spacing w:before="2"/>
        <w:ind w:left="0" w:right="577"/>
        <w:jc w:val="right"/>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货币及单位：人民币元</w:t>
      </w:r>
    </w:p>
    <w:tbl>
      <w:tblPr>
        <w:tblStyle w:val="18"/>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19"/>
        <w:gridCol w:w="1319"/>
        <w:gridCol w:w="1320"/>
        <w:gridCol w:w="1320"/>
        <w:gridCol w:w="1320"/>
        <w:gridCol w:w="1320"/>
        <w:gridCol w:w="1322"/>
      </w:tblGrid>
      <w:tr w14:paraId="4C5BA5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319" w:type="dxa"/>
          </w:tcPr>
          <w:p w14:paraId="22CDE030">
            <w:pPr>
              <w:pStyle w:val="25"/>
              <w:rPr>
                <w:rFonts w:hint="eastAsia" w:asciiTheme="minorEastAsia" w:hAnsiTheme="minorEastAsia" w:eastAsiaTheme="minorEastAsia" w:cstheme="minorEastAsia"/>
                <w:color w:val="auto"/>
                <w:sz w:val="22"/>
              </w:rPr>
            </w:pPr>
          </w:p>
        </w:tc>
        <w:tc>
          <w:tcPr>
            <w:tcW w:w="7921" w:type="dxa"/>
            <w:gridSpan w:val="6"/>
          </w:tcPr>
          <w:p w14:paraId="13CC322C">
            <w:pPr>
              <w:pStyle w:val="25"/>
              <w:spacing w:before="80"/>
              <w:ind w:left="216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本采购包内属于节能、环境标志产品的情况</w:t>
            </w:r>
          </w:p>
        </w:tc>
      </w:tr>
      <w:tr w14:paraId="0CDA27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6" w:hRule="atLeast"/>
        </w:trPr>
        <w:tc>
          <w:tcPr>
            <w:tcW w:w="1319" w:type="dxa"/>
          </w:tcPr>
          <w:p w14:paraId="6F2F6023">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采购包</w:t>
            </w:r>
          </w:p>
        </w:tc>
        <w:tc>
          <w:tcPr>
            <w:tcW w:w="1319" w:type="dxa"/>
          </w:tcPr>
          <w:p w14:paraId="64A8C7EE">
            <w:pPr>
              <w:pStyle w:val="25"/>
              <w:spacing w:before="80"/>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品目号</w:t>
            </w:r>
          </w:p>
        </w:tc>
        <w:tc>
          <w:tcPr>
            <w:tcW w:w="1320" w:type="dxa"/>
          </w:tcPr>
          <w:p w14:paraId="35940429">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货物名称</w:t>
            </w:r>
          </w:p>
        </w:tc>
        <w:tc>
          <w:tcPr>
            <w:tcW w:w="1320" w:type="dxa"/>
          </w:tcPr>
          <w:p w14:paraId="0F01CB59">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单价（ 现</w:t>
            </w:r>
          </w:p>
          <w:p w14:paraId="6814A5EF">
            <w:pPr>
              <w:pStyle w:val="25"/>
              <w:spacing w:before="16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场）</w:t>
            </w:r>
          </w:p>
        </w:tc>
        <w:tc>
          <w:tcPr>
            <w:tcW w:w="1320" w:type="dxa"/>
          </w:tcPr>
          <w:p w14:paraId="00CF35B9">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数量</w:t>
            </w:r>
          </w:p>
        </w:tc>
        <w:tc>
          <w:tcPr>
            <w:tcW w:w="1320" w:type="dxa"/>
          </w:tcPr>
          <w:p w14:paraId="5CE53301">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总价（ 现</w:t>
            </w:r>
          </w:p>
          <w:p w14:paraId="1A5F3E49">
            <w:pPr>
              <w:pStyle w:val="25"/>
              <w:spacing w:before="16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场）</w:t>
            </w:r>
          </w:p>
        </w:tc>
        <w:tc>
          <w:tcPr>
            <w:tcW w:w="1322" w:type="dxa"/>
          </w:tcPr>
          <w:p w14:paraId="504DBAE5">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认证种类</w:t>
            </w:r>
          </w:p>
        </w:tc>
      </w:tr>
      <w:tr w14:paraId="662509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319" w:type="dxa"/>
            <w:vMerge w:val="restart"/>
          </w:tcPr>
          <w:p w14:paraId="0633E81B">
            <w:pPr>
              <w:pStyle w:val="25"/>
              <w:spacing w:before="88"/>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1319" w:type="dxa"/>
          </w:tcPr>
          <w:p w14:paraId="7EDFAF63">
            <w:pPr>
              <w:pStyle w:val="25"/>
              <w:spacing w:before="88"/>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1320" w:type="dxa"/>
          </w:tcPr>
          <w:p w14:paraId="5BE90C3A">
            <w:pPr>
              <w:pStyle w:val="25"/>
              <w:rPr>
                <w:rFonts w:hint="eastAsia" w:asciiTheme="minorEastAsia" w:hAnsiTheme="minorEastAsia" w:eastAsiaTheme="minorEastAsia" w:cstheme="minorEastAsia"/>
                <w:color w:val="auto"/>
                <w:sz w:val="22"/>
              </w:rPr>
            </w:pPr>
          </w:p>
        </w:tc>
        <w:tc>
          <w:tcPr>
            <w:tcW w:w="1320" w:type="dxa"/>
          </w:tcPr>
          <w:p w14:paraId="51316A22">
            <w:pPr>
              <w:pStyle w:val="25"/>
              <w:rPr>
                <w:rFonts w:hint="eastAsia" w:asciiTheme="minorEastAsia" w:hAnsiTheme="minorEastAsia" w:eastAsiaTheme="minorEastAsia" w:cstheme="minorEastAsia"/>
                <w:color w:val="auto"/>
                <w:sz w:val="22"/>
              </w:rPr>
            </w:pPr>
          </w:p>
        </w:tc>
        <w:tc>
          <w:tcPr>
            <w:tcW w:w="1320" w:type="dxa"/>
          </w:tcPr>
          <w:p w14:paraId="45ADE804">
            <w:pPr>
              <w:pStyle w:val="25"/>
              <w:rPr>
                <w:rFonts w:hint="eastAsia" w:asciiTheme="minorEastAsia" w:hAnsiTheme="minorEastAsia" w:eastAsiaTheme="minorEastAsia" w:cstheme="minorEastAsia"/>
                <w:color w:val="auto"/>
                <w:sz w:val="22"/>
              </w:rPr>
            </w:pPr>
          </w:p>
        </w:tc>
        <w:tc>
          <w:tcPr>
            <w:tcW w:w="1320" w:type="dxa"/>
          </w:tcPr>
          <w:p w14:paraId="3900141E">
            <w:pPr>
              <w:pStyle w:val="25"/>
              <w:rPr>
                <w:rFonts w:hint="eastAsia" w:asciiTheme="minorEastAsia" w:hAnsiTheme="minorEastAsia" w:eastAsiaTheme="minorEastAsia" w:cstheme="minorEastAsia"/>
                <w:color w:val="auto"/>
                <w:sz w:val="22"/>
              </w:rPr>
            </w:pPr>
          </w:p>
        </w:tc>
        <w:tc>
          <w:tcPr>
            <w:tcW w:w="1322" w:type="dxa"/>
          </w:tcPr>
          <w:p w14:paraId="32742BF4">
            <w:pPr>
              <w:pStyle w:val="25"/>
              <w:rPr>
                <w:rFonts w:hint="eastAsia" w:asciiTheme="minorEastAsia" w:hAnsiTheme="minorEastAsia" w:eastAsiaTheme="minorEastAsia" w:cstheme="minorEastAsia"/>
                <w:color w:val="auto"/>
                <w:sz w:val="22"/>
              </w:rPr>
            </w:pPr>
          </w:p>
        </w:tc>
      </w:tr>
      <w:tr w14:paraId="516447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319" w:type="dxa"/>
            <w:vMerge w:val="continue"/>
            <w:tcBorders>
              <w:top w:val="nil"/>
            </w:tcBorders>
          </w:tcPr>
          <w:p w14:paraId="24A78593">
            <w:pPr>
              <w:rPr>
                <w:rFonts w:hint="eastAsia" w:asciiTheme="minorEastAsia" w:hAnsiTheme="minorEastAsia" w:eastAsiaTheme="minorEastAsia" w:cstheme="minorEastAsia"/>
                <w:color w:val="auto"/>
                <w:sz w:val="2"/>
                <w:szCs w:val="2"/>
              </w:rPr>
            </w:pPr>
          </w:p>
        </w:tc>
        <w:tc>
          <w:tcPr>
            <w:tcW w:w="1319" w:type="dxa"/>
          </w:tcPr>
          <w:p w14:paraId="245BE5D7">
            <w:pPr>
              <w:pStyle w:val="25"/>
              <w:spacing w:before="82"/>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1320" w:type="dxa"/>
          </w:tcPr>
          <w:p w14:paraId="445A267B">
            <w:pPr>
              <w:pStyle w:val="25"/>
              <w:rPr>
                <w:rFonts w:hint="eastAsia" w:asciiTheme="minorEastAsia" w:hAnsiTheme="minorEastAsia" w:eastAsiaTheme="minorEastAsia" w:cstheme="minorEastAsia"/>
                <w:color w:val="auto"/>
                <w:sz w:val="22"/>
              </w:rPr>
            </w:pPr>
          </w:p>
        </w:tc>
        <w:tc>
          <w:tcPr>
            <w:tcW w:w="1320" w:type="dxa"/>
          </w:tcPr>
          <w:p w14:paraId="083C9349">
            <w:pPr>
              <w:pStyle w:val="25"/>
              <w:rPr>
                <w:rFonts w:hint="eastAsia" w:asciiTheme="minorEastAsia" w:hAnsiTheme="minorEastAsia" w:eastAsiaTheme="minorEastAsia" w:cstheme="minorEastAsia"/>
                <w:color w:val="auto"/>
                <w:sz w:val="22"/>
              </w:rPr>
            </w:pPr>
          </w:p>
        </w:tc>
        <w:tc>
          <w:tcPr>
            <w:tcW w:w="1320" w:type="dxa"/>
          </w:tcPr>
          <w:p w14:paraId="7085B9B8">
            <w:pPr>
              <w:pStyle w:val="25"/>
              <w:rPr>
                <w:rFonts w:hint="eastAsia" w:asciiTheme="minorEastAsia" w:hAnsiTheme="minorEastAsia" w:eastAsiaTheme="minorEastAsia" w:cstheme="minorEastAsia"/>
                <w:color w:val="auto"/>
                <w:sz w:val="22"/>
              </w:rPr>
            </w:pPr>
          </w:p>
        </w:tc>
        <w:tc>
          <w:tcPr>
            <w:tcW w:w="1320" w:type="dxa"/>
          </w:tcPr>
          <w:p w14:paraId="300D9CEB">
            <w:pPr>
              <w:pStyle w:val="25"/>
              <w:rPr>
                <w:rFonts w:hint="eastAsia" w:asciiTheme="minorEastAsia" w:hAnsiTheme="minorEastAsia" w:eastAsiaTheme="minorEastAsia" w:cstheme="minorEastAsia"/>
                <w:color w:val="auto"/>
                <w:sz w:val="22"/>
              </w:rPr>
            </w:pPr>
          </w:p>
        </w:tc>
        <w:tc>
          <w:tcPr>
            <w:tcW w:w="1322" w:type="dxa"/>
          </w:tcPr>
          <w:p w14:paraId="6D3ED625">
            <w:pPr>
              <w:pStyle w:val="25"/>
              <w:rPr>
                <w:rFonts w:hint="eastAsia" w:asciiTheme="minorEastAsia" w:hAnsiTheme="minorEastAsia" w:eastAsiaTheme="minorEastAsia" w:cstheme="minorEastAsia"/>
                <w:color w:val="auto"/>
                <w:sz w:val="22"/>
              </w:rPr>
            </w:pPr>
          </w:p>
        </w:tc>
      </w:tr>
    </w:tbl>
    <w:p w14:paraId="5B361BB2">
      <w:pPr>
        <w:pStyle w:val="6"/>
        <w:spacing w:before="8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7D936CA1">
      <w:pPr>
        <w:pStyle w:val="6"/>
        <w:spacing w:before="160"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1、对节能、环境标志产品计算价格扣除时，只依据投标文件“四-1-②优先类节能产品、环境标志产品加分证明材料（加分适用，若有）”。</w:t>
      </w:r>
    </w:p>
    <w:p w14:paraId="2B672C61">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152CD615">
      <w:pPr>
        <w:pStyle w:val="6"/>
        <w:spacing w:before="42"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2、本表以采购包为单位，不同采购包请分别填写；同一采购包请按照其品目号顺序分别填写。</w:t>
      </w:r>
    </w:p>
    <w:p w14:paraId="6DB25D15">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3、具体统计、计算：</w:t>
      </w:r>
    </w:p>
    <w:p w14:paraId="365C55F1">
      <w:pPr>
        <w:pStyle w:val="24"/>
        <w:numPr>
          <w:ilvl w:val="1"/>
          <w:numId w:val="81"/>
        </w:numPr>
        <w:tabs>
          <w:tab w:val="left" w:pos="1065"/>
        </w:tabs>
        <w:spacing w:before="161" w:after="0" w:line="364"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pacing w:val="-1"/>
          <w:sz w:val="24"/>
        </w:rPr>
        <w:t>若节能、环境标志产品仅是构成投标产品的部件、组件或零件，则该投标产品</w:t>
      </w:r>
      <w:r>
        <w:rPr>
          <w:rFonts w:hint="eastAsia" w:asciiTheme="minorEastAsia" w:hAnsiTheme="minorEastAsia" w:eastAsiaTheme="minorEastAsia" w:cstheme="minorEastAsia"/>
          <w:color w:val="auto"/>
          <w:spacing w:val="-8"/>
          <w:sz w:val="24"/>
        </w:rPr>
        <w:t>不享受鼓励优惠政策。同一品目中各认证证书不重复计算价格扣除。强制类节能产品不</w:t>
      </w:r>
      <w:r>
        <w:rPr>
          <w:rFonts w:hint="eastAsia" w:asciiTheme="minorEastAsia" w:hAnsiTheme="minorEastAsia" w:eastAsiaTheme="minorEastAsia" w:cstheme="minorEastAsia"/>
          <w:color w:val="auto"/>
          <w:sz w:val="24"/>
        </w:rPr>
        <w:t>享受价格扣除。</w:t>
      </w:r>
    </w:p>
    <w:p w14:paraId="0061C562">
      <w:pPr>
        <w:pStyle w:val="24"/>
        <w:numPr>
          <w:ilvl w:val="1"/>
          <w:numId w:val="81"/>
        </w:numPr>
        <w:tabs>
          <w:tab w:val="left" w:pos="1063"/>
        </w:tabs>
        <w:spacing w:before="1"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计算结果若除不尽，可四舍五入保留到小数点后两位。</w:t>
      </w:r>
    </w:p>
    <w:p w14:paraId="7A4A6498">
      <w:pPr>
        <w:pStyle w:val="24"/>
        <w:numPr>
          <w:ilvl w:val="1"/>
          <w:numId w:val="81"/>
        </w:numPr>
        <w:tabs>
          <w:tab w:val="left" w:pos="1063"/>
        </w:tabs>
        <w:spacing w:before="161"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投标人应按照招标文件要求认真统计、计算，否则评标委员会不予认定。</w:t>
      </w:r>
    </w:p>
    <w:p w14:paraId="66F137B9">
      <w:pPr>
        <w:pStyle w:val="24"/>
        <w:numPr>
          <w:ilvl w:val="1"/>
          <w:numId w:val="81"/>
        </w:numPr>
        <w:tabs>
          <w:tab w:val="left" w:pos="1063"/>
        </w:tabs>
        <w:spacing w:before="160" w:after="0" w:line="240" w:lineRule="auto"/>
        <w:ind w:left="1062" w:right="0" w:hanging="362"/>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若无节能、环境标志产品，不填写本表，否则，视为提供虚假材料。</w:t>
      </w:r>
    </w:p>
    <w:p w14:paraId="10F6F37E">
      <w:pPr>
        <w:pStyle w:val="6"/>
        <w:tabs>
          <w:tab w:val="left" w:pos="7566"/>
          <w:tab w:val="left" w:pos="8286"/>
          <w:tab w:val="left" w:pos="9006"/>
        </w:tabs>
        <w:spacing w:before="161"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38883D83">
      <w:pPr>
        <w:pStyle w:val="4"/>
        <w:spacing w:before="213" w:line="364" w:lineRule="auto"/>
        <w:ind w:right="-70" w:rightChars="0"/>
        <w:jc w:val="center"/>
        <w:rPr>
          <w:rFonts w:hint="eastAsia" w:asciiTheme="minorEastAsia" w:hAnsiTheme="minorEastAsia" w:eastAsiaTheme="minorEastAsia" w:cstheme="minorEastAsia"/>
          <w:color w:val="auto"/>
        </w:rPr>
      </w:pPr>
      <w:bookmarkStart w:id="102" w:name="四-1-②优先类节能产品、环境标志产品证明材料（加分适用，若有）"/>
      <w:bookmarkEnd w:id="102"/>
      <w:r>
        <w:rPr>
          <w:rFonts w:hint="eastAsia" w:asciiTheme="minorEastAsia" w:hAnsiTheme="minorEastAsia" w:eastAsiaTheme="minorEastAsia" w:cstheme="minorEastAsia"/>
          <w:color w:val="auto"/>
        </w:rPr>
        <w:t>四-1-②优先类节能产品、环境标志产品证明材料（加分适用，若有）</w:t>
      </w:r>
      <w:bookmarkStart w:id="103" w:name="四-2招标文件规定的其他加分证明材料（若有）"/>
      <w:bookmarkEnd w:id="103"/>
    </w:p>
    <w:p w14:paraId="7592C4DC">
      <w:pPr>
        <w:pStyle w:val="4"/>
        <w:spacing w:before="213" w:line="364" w:lineRule="auto"/>
        <w:ind w:right="-70" w:rightChars="0"/>
        <w:jc w:val="cente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四-2 招标文件规定的其他加分证明材料（若有）</w:t>
      </w:r>
    </w:p>
    <w:p w14:paraId="3CA8533C">
      <w:pPr>
        <w:pStyle w:val="6"/>
        <w:spacing w:before="1"/>
        <w:ind w:left="449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编制说明</w:t>
      </w:r>
    </w:p>
    <w:p w14:paraId="102D9732">
      <w:pPr>
        <w:pStyle w:val="6"/>
        <w:spacing w:before="16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7"/>
        </w:rPr>
        <w:t>若投标人可享受招标文件规定的除“优先类节能产品、环境标志产品加分”外的其</w:t>
      </w:r>
      <w:r>
        <w:rPr>
          <w:rFonts w:hint="eastAsia" w:asciiTheme="minorEastAsia" w:hAnsiTheme="minorEastAsia" w:eastAsiaTheme="minorEastAsia" w:cstheme="minorEastAsia"/>
          <w:color w:val="auto"/>
        </w:rPr>
        <w:t>他加分优惠，则投标人应按照招标文件要求提供相应证明材料。</w:t>
      </w:r>
    </w:p>
    <w:p w14:paraId="0CFD2665">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7BA459CD">
      <w:pPr>
        <w:pStyle w:val="2"/>
        <w:spacing w:before="22"/>
        <w:rPr>
          <w:rFonts w:hint="eastAsia" w:asciiTheme="minorEastAsia" w:hAnsiTheme="minorEastAsia" w:eastAsiaTheme="minorEastAsia" w:cstheme="minorEastAsia"/>
          <w:color w:val="auto"/>
        </w:rPr>
      </w:pPr>
      <w:bookmarkStart w:id="104" w:name="封面格式"/>
      <w:bookmarkEnd w:id="104"/>
      <w:r>
        <w:rPr>
          <w:rFonts w:hint="eastAsia" w:asciiTheme="minorEastAsia" w:hAnsiTheme="minorEastAsia" w:eastAsiaTheme="minorEastAsia" w:cstheme="minorEastAsia"/>
          <w:color w:val="auto"/>
        </w:rPr>
        <w:t>封面格式</w:t>
      </w:r>
    </w:p>
    <w:p w14:paraId="1F2FAB31">
      <w:pPr>
        <w:spacing w:before="0"/>
        <w:ind w:left="1343" w:right="746" w:firstLine="0"/>
        <w:jc w:val="center"/>
        <w:rPr>
          <w:rFonts w:hint="eastAsia" w:asciiTheme="minorEastAsia" w:hAnsiTheme="minorEastAsia" w:eastAsiaTheme="minorEastAsia" w:cstheme="minorEastAsia"/>
          <w:b/>
          <w:color w:val="auto"/>
          <w:sz w:val="36"/>
        </w:rPr>
      </w:pPr>
      <w:bookmarkStart w:id="105" w:name="福建省政府采购投标文件"/>
      <w:bookmarkEnd w:id="105"/>
    </w:p>
    <w:p w14:paraId="73CE0329">
      <w:pPr>
        <w:spacing w:before="0"/>
        <w:ind w:left="1343" w:right="746" w:firstLine="0"/>
        <w:jc w:val="center"/>
        <w:rPr>
          <w:rFonts w:hint="eastAsia" w:asciiTheme="minorEastAsia" w:hAnsiTheme="minorEastAsia" w:eastAsiaTheme="minorEastAsia" w:cstheme="minorEastAsia"/>
          <w:b/>
          <w:color w:val="auto"/>
          <w:sz w:val="36"/>
        </w:rPr>
      </w:pPr>
      <w:r>
        <w:rPr>
          <w:rFonts w:hint="eastAsia" w:asciiTheme="minorEastAsia" w:hAnsiTheme="minorEastAsia" w:eastAsiaTheme="minorEastAsia" w:cstheme="minorEastAsia"/>
          <w:b/>
          <w:color w:val="auto"/>
          <w:sz w:val="36"/>
        </w:rPr>
        <w:t>福建省</w:t>
      </w:r>
      <w:r>
        <w:rPr>
          <w:rFonts w:hint="eastAsia" w:asciiTheme="minorEastAsia" w:hAnsiTheme="minorEastAsia" w:eastAsiaTheme="minorEastAsia" w:cstheme="minorEastAsia"/>
          <w:b/>
          <w:color w:val="auto"/>
          <w:sz w:val="36"/>
          <w:lang w:eastAsia="zh-CN"/>
        </w:rPr>
        <w:t>企业采购</w:t>
      </w:r>
      <w:r>
        <w:rPr>
          <w:rFonts w:hint="eastAsia" w:asciiTheme="minorEastAsia" w:hAnsiTheme="minorEastAsia" w:eastAsiaTheme="minorEastAsia" w:cstheme="minorEastAsia"/>
          <w:b/>
          <w:color w:val="auto"/>
          <w:sz w:val="36"/>
        </w:rPr>
        <w:t>投标文件</w:t>
      </w:r>
    </w:p>
    <w:p w14:paraId="54ECC303">
      <w:pPr>
        <w:spacing w:before="163"/>
        <w:ind w:left="1343" w:right="746" w:firstLine="0"/>
        <w:jc w:val="center"/>
        <w:rPr>
          <w:rFonts w:hint="eastAsia" w:asciiTheme="minorEastAsia" w:hAnsiTheme="minorEastAsia" w:eastAsiaTheme="minorEastAsia" w:cstheme="minorEastAsia"/>
          <w:b/>
          <w:color w:val="auto"/>
          <w:sz w:val="36"/>
        </w:rPr>
      </w:pPr>
      <w:bookmarkStart w:id="106" w:name="（技术商务部分）"/>
      <w:bookmarkEnd w:id="106"/>
    </w:p>
    <w:p w14:paraId="46BE9980">
      <w:pPr>
        <w:spacing w:before="163"/>
        <w:ind w:left="1343" w:right="746" w:firstLine="0"/>
        <w:jc w:val="center"/>
        <w:rPr>
          <w:rFonts w:hint="eastAsia" w:asciiTheme="minorEastAsia" w:hAnsiTheme="minorEastAsia" w:eastAsiaTheme="minorEastAsia" w:cstheme="minorEastAsia"/>
          <w:b/>
          <w:color w:val="auto"/>
          <w:sz w:val="36"/>
        </w:rPr>
      </w:pPr>
      <w:r>
        <w:rPr>
          <w:rFonts w:hint="eastAsia" w:asciiTheme="minorEastAsia" w:hAnsiTheme="minorEastAsia" w:eastAsiaTheme="minorEastAsia" w:cstheme="minorEastAsia"/>
          <w:b/>
          <w:color w:val="auto"/>
          <w:sz w:val="36"/>
        </w:rPr>
        <w:t>（技术商务部分）</w:t>
      </w:r>
    </w:p>
    <w:p w14:paraId="2E63FF64">
      <w:pPr>
        <w:spacing w:before="0"/>
        <w:ind w:left="1343" w:right="748" w:firstLine="0"/>
        <w:jc w:val="center"/>
        <w:rPr>
          <w:rFonts w:hint="eastAsia" w:asciiTheme="minorEastAsia" w:hAnsiTheme="minorEastAsia" w:eastAsiaTheme="minorEastAsia" w:cstheme="minorEastAsia"/>
          <w:b/>
          <w:color w:val="auto"/>
          <w:sz w:val="36"/>
        </w:rPr>
      </w:pPr>
      <w:bookmarkStart w:id="107" w:name="（填写正本或副本）"/>
      <w:bookmarkEnd w:id="107"/>
    </w:p>
    <w:p w14:paraId="34DA5890">
      <w:pPr>
        <w:spacing w:before="0"/>
        <w:ind w:left="1343" w:right="748" w:firstLine="0"/>
        <w:jc w:val="center"/>
        <w:rPr>
          <w:rFonts w:hint="eastAsia" w:asciiTheme="minorEastAsia" w:hAnsiTheme="minorEastAsia" w:eastAsiaTheme="minorEastAsia" w:cstheme="minorEastAsia"/>
          <w:b/>
          <w:color w:val="auto"/>
          <w:sz w:val="36"/>
        </w:rPr>
      </w:pPr>
      <w:r>
        <w:rPr>
          <w:rFonts w:hint="eastAsia" w:asciiTheme="minorEastAsia" w:hAnsiTheme="minorEastAsia" w:eastAsiaTheme="minorEastAsia" w:cstheme="minorEastAsia"/>
          <w:b/>
          <w:color w:val="auto"/>
          <w:sz w:val="36"/>
        </w:rPr>
        <w:t>（填写正本或副本）</w:t>
      </w:r>
    </w:p>
    <w:p w14:paraId="58798A7F">
      <w:pPr>
        <w:spacing w:before="1"/>
        <w:ind w:left="1343" w:right="746" w:firstLine="0"/>
        <w:jc w:val="center"/>
        <w:rPr>
          <w:rFonts w:hint="eastAsia" w:asciiTheme="minorEastAsia" w:hAnsiTheme="minorEastAsia" w:eastAsiaTheme="minorEastAsia" w:cstheme="minorEastAsia"/>
          <w:b/>
          <w:color w:val="auto"/>
          <w:w w:val="95"/>
          <w:sz w:val="36"/>
        </w:rPr>
      </w:pPr>
      <w:bookmarkStart w:id="108" w:name="（项目名称：（由投标人填写）"/>
      <w:bookmarkEnd w:id="108"/>
    </w:p>
    <w:p w14:paraId="6EDAF803">
      <w:pPr>
        <w:spacing w:before="1"/>
        <w:ind w:left="1343" w:right="746" w:firstLine="0"/>
        <w:jc w:val="center"/>
        <w:rPr>
          <w:rFonts w:hint="eastAsia" w:asciiTheme="minorEastAsia" w:hAnsiTheme="minorEastAsia" w:eastAsiaTheme="minorEastAsia" w:cstheme="minorEastAsia"/>
          <w:b/>
          <w:color w:val="auto"/>
          <w:w w:val="95"/>
          <w:sz w:val="36"/>
        </w:rPr>
      </w:pPr>
    </w:p>
    <w:p w14:paraId="56A27E12">
      <w:pPr>
        <w:spacing w:before="1"/>
        <w:ind w:left="1343" w:right="746" w:firstLine="0"/>
        <w:jc w:val="center"/>
        <w:rPr>
          <w:rFonts w:hint="eastAsia" w:asciiTheme="minorEastAsia" w:hAnsiTheme="minorEastAsia" w:eastAsiaTheme="minorEastAsia" w:cstheme="minorEastAsia"/>
          <w:b/>
          <w:color w:val="auto"/>
          <w:sz w:val="36"/>
        </w:rPr>
      </w:pPr>
      <w:r>
        <w:rPr>
          <w:rFonts w:hint="eastAsia" w:asciiTheme="minorEastAsia" w:hAnsiTheme="minorEastAsia" w:eastAsiaTheme="minorEastAsia" w:cstheme="minorEastAsia"/>
          <w:b/>
          <w:color w:val="auto"/>
          <w:w w:val="95"/>
          <w:sz w:val="36"/>
        </w:rPr>
        <w:t>（项目名称：（由投标人填写）</w:t>
      </w:r>
    </w:p>
    <w:p w14:paraId="57A5C01C">
      <w:pPr>
        <w:spacing w:before="162"/>
        <w:ind w:left="1343" w:right="746" w:firstLine="0"/>
        <w:jc w:val="center"/>
        <w:rPr>
          <w:rFonts w:hint="eastAsia" w:asciiTheme="minorEastAsia" w:hAnsiTheme="minorEastAsia" w:eastAsiaTheme="minorEastAsia" w:cstheme="minorEastAsia"/>
          <w:b/>
          <w:color w:val="auto"/>
          <w:sz w:val="36"/>
        </w:rPr>
      </w:pPr>
      <w:bookmarkStart w:id="109" w:name="（备案编号：（由投标人填写）"/>
      <w:bookmarkEnd w:id="109"/>
      <w:r>
        <w:rPr>
          <w:rFonts w:hint="eastAsia" w:asciiTheme="minorEastAsia" w:hAnsiTheme="minorEastAsia" w:eastAsiaTheme="minorEastAsia" w:cstheme="minorEastAsia"/>
          <w:b/>
          <w:color w:val="auto"/>
          <w:w w:val="95"/>
          <w:sz w:val="36"/>
        </w:rPr>
        <w:t>（备案编号：（由投标人填写）</w:t>
      </w:r>
    </w:p>
    <w:p w14:paraId="37E38554">
      <w:pPr>
        <w:spacing w:before="163"/>
        <w:ind w:left="1343" w:right="746" w:firstLine="0"/>
        <w:jc w:val="center"/>
        <w:rPr>
          <w:rFonts w:hint="eastAsia" w:asciiTheme="minorEastAsia" w:hAnsiTheme="minorEastAsia" w:eastAsiaTheme="minorEastAsia" w:cstheme="minorEastAsia"/>
          <w:b/>
          <w:color w:val="auto"/>
          <w:sz w:val="36"/>
        </w:rPr>
      </w:pPr>
      <w:bookmarkStart w:id="110" w:name="（项目编号：（由投标人填写）"/>
      <w:bookmarkEnd w:id="110"/>
      <w:r>
        <w:rPr>
          <w:rFonts w:hint="eastAsia" w:asciiTheme="minorEastAsia" w:hAnsiTheme="minorEastAsia" w:eastAsiaTheme="minorEastAsia" w:cstheme="minorEastAsia"/>
          <w:b/>
          <w:color w:val="auto"/>
          <w:w w:val="95"/>
          <w:sz w:val="36"/>
        </w:rPr>
        <w:t>（项目编号：（由投标人填写）</w:t>
      </w:r>
    </w:p>
    <w:p w14:paraId="10858C04">
      <w:pPr>
        <w:spacing w:before="163"/>
        <w:ind w:left="1343" w:right="746" w:firstLine="0"/>
        <w:jc w:val="center"/>
        <w:rPr>
          <w:rFonts w:hint="eastAsia" w:asciiTheme="minorEastAsia" w:hAnsiTheme="minorEastAsia" w:eastAsiaTheme="minorEastAsia" w:cstheme="minorEastAsia"/>
          <w:b/>
          <w:color w:val="auto"/>
          <w:sz w:val="36"/>
        </w:rPr>
      </w:pPr>
      <w:bookmarkStart w:id="111" w:name="（所投采购包：（由投标人填写）"/>
      <w:bookmarkEnd w:id="111"/>
    </w:p>
    <w:p w14:paraId="28EEB35F">
      <w:pPr>
        <w:spacing w:before="163"/>
        <w:ind w:left="1343" w:right="746" w:firstLine="0"/>
        <w:jc w:val="center"/>
        <w:rPr>
          <w:rFonts w:hint="eastAsia" w:asciiTheme="minorEastAsia" w:hAnsiTheme="minorEastAsia" w:eastAsiaTheme="minorEastAsia" w:cstheme="minorEastAsia"/>
          <w:b/>
          <w:color w:val="auto"/>
          <w:sz w:val="36"/>
        </w:rPr>
      </w:pPr>
    </w:p>
    <w:p w14:paraId="24B217A7">
      <w:pPr>
        <w:spacing w:before="163"/>
        <w:ind w:left="1343" w:right="746" w:firstLine="0"/>
        <w:jc w:val="center"/>
        <w:rPr>
          <w:rFonts w:hint="eastAsia" w:asciiTheme="minorEastAsia" w:hAnsiTheme="minorEastAsia" w:eastAsiaTheme="minorEastAsia" w:cstheme="minorEastAsia"/>
          <w:b/>
          <w:color w:val="auto"/>
          <w:sz w:val="36"/>
        </w:rPr>
      </w:pPr>
      <w:r>
        <w:rPr>
          <w:rFonts w:hint="eastAsia" w:asciiTheme="minorEastAsia" w:hAnsiTheme="minorEastAsia" w:eastAsiaTheme="minorEastAsia" w:cstheme="minorEastAsia"/>
          <w:b/>
          <w:color w:val="auto"/>
          <w:sz w:val="36"/>
        </w:rPr>
        <w:t>（所投采购包：（由投标人填写）</w:t>
      </w:r>
    </w:p>
    <w:p w14:paraId="21436206">
      <w:pPr>
        <w:spacing w:before="0"/>
        <w:ind w:left="1343" w:right="746" w:firstLine="0"/>
        <w:jc w:val="center"/>
        <w:rPr>
          <w:rFonts w:hint="eastAsia" w:asciiTheme="minorEastAsia" w:hAnsiTheme="minorEastAsia" w:eastAsiaTheme="minorEastAsia" w:cstheme="minorEastAsia"/>
          <w:b/>
          <w:color w:val="auto"/>
          <w:sz w:val="36"/>
        </w:rPr>
      </w:pPr>
      <w:bookmarkStart w:id="112" w:name="投标人：（填写“全称”）"/>
      <w:bookmarkEnd w:id="112"/>
    </w:p>
    <w:p w14:paraId="6832DAC3">
      <w:pPr>
        <w:spacing w:before="0"/>
        <w:ind w:left="1343" w:right="746" w:firstLine="0"/>
        <w:jc w:val="center"/>
        <w:rPr>
          <w:rFonts w:hint="eastAsia" w:asciiTheme="minorEastAsia" w:hAnsiTheme="minorEastAsia" w:eastAsiaTheme="minorEastAsia" w:cstheme="minorEastAsia"/>
          <w:b/>
          <w:color w:val="auto"/>
          <w:sz w:val="36"/>
        </w:rPr>
      </w:pPr>
    </w:p>
    <w:p w14:paraId="78FA7046">
      <w:pPr>
        <w:spacing w:before="0"/>
        <w:ind w:left="1343" w:right="746" w:firstLine="0"/>
        <w:jc w:val="center"/>
        <w:rPr>
          <w:rFonts w:hint="eastAsia" w:asciiTheme="minorEastAsia" w:hAnsiTheme="minorEastAsia" w:eastAsiaTheme="minorEastAsia" w:cstheme="minorEastAsia"/>
          <w:b/>
          <w:color w:val="auto"/>
          <w:sz w:val="36"/>
        </w:rPr>
      </w:pPr>
    </w:p>
    <w:p w14:paraId="053C1591">
      <w:pPr>
        <w:spacing w:before="0"/>
        <w:ind w:left="1343" w:right="746" w:firstLine="0"/>
        <w:jc w:val="center"/>
        <w:rPr>
          <w:rFonts w:hint="eastAsia" w:asciiTheme="minorEastAsia" w:hAnsiTheme="minorEastAsia" w:eastAsiaTheme="minorEastAsia" w:cstheme="minorEastAsia"/>
          <w:b/>
          <w:color w:val="auto"/>
          <w:sz w:val="36"/>
        </w:rPr>
      </w:pPr>
      <w:r>
        <w:rPr>
          <w:rFonts w:hint="eastAsia" w:asciiTheme="minorEastAsia" w:hAnsiTheme="minorEastAsia" w:eastAsiaTheme="minorEastAsia" w:cstheme="minorEastAsia"/>
          <w:b/>
          <w:color w:val="auto"/>
          <w:sz w:val="36"/>
        </w:rPr>
        <w:t>投标人：（填写“全称”）</w:t>
      </w:r>
    </w:p>
    <w:p w14:paraId="1D3AE9E7">
      <w:pPr>
        <w:spacing w:before="163"/>
        <w:ind w:left="1340" w:right="743" w:firstLine="0"/>
        <w:jc w:val="center"/>
        <w:rPr>
          <w:rFonts w:hint="eastAsia" w:asciiTheme="minorEastAsia" w:hAnsiTheme="minorEastAsia" w:eastAsiaTheme="minorEastAsia" w:cstheme="minorEastAsia"/>
          <w:b/>
          <w:color w:val="auto"/>
          <w:sz w:val="36"/>
        </w:rPr>
      </w:pPr>
      <w:bookmarkStart w:id="113" w:name="（由投标人填写）年（由投标人填写）月"/>
      <w:bookmarkEnd w:id="113"/>
      <w:r>
        <w:rPr>
          <w:rFonts w:hint="eastAsia" w:asciiTheme="minorEastAsia" w:hAnsiTheme="minorEastAsia" w:eastAsiaTheme="minorEastAsia" w:cstheme="minorEastAsia"/>
          <w:b/>
          <w:color w:val="auto"/>
          <w:sz w:val="36"/>
        </w:rPr>
        <w:t>（由投标人填写）年（由投标人填写）月</w:t>
      </w:r>
    </w:p>
    <w:p w14:paraId="2D6679F9">
      <w:pPr>
        <w:spacing w:after="0"/>
        <w:jc w:val="center"/>
        <w:rPr>
          <w:rFonts w:hint="eastAsia" w:asciiTheme="minorEastAsia" w:hAnsiTheme="minorEastAsia" w:eastAsiaTheme="minorEastAsia" w:cstheme="minorEastAsia"/>
          <w:color w:val="auto"/>
          <w:sz w:val="36"/>
        </w:rPr>
        <w:sectPr>
          <w:pgSz w:w="11910" w:h="16840"/>
          <w:pgMar w:top="1480" w:right="860" w:bottom="1160" w:left="1220" w:header="0" w:footer="970" w:gutter="0"/>
          <w:pgNumType w:fmt="decimal"/>
          <w:cols w:space="720" w:num="1"/>
        </w:sectPr>
      </w:pPr>
    </w:p>
    <w:p w14:paraId="06F8C29C">
      <w:pPr>
        <w:pStyle w:val="4"/>
        <w:spacing w:before="42"/>
        <w:ind w:left="1343" w:right="745"/>
        <w:jc w:val="center"/>
        <w:rPr>
          <w:rFonts w:hint="eastAsia" w:asciiTheme="minorEastAsia" w:hAnsiTheme="minorEastAsia" w:eastAsiaTheme="minorEastAsia" w:cstheme="minorEastAsia"/>
          <w:color w:val="auto"/>
        </w:rPr>
      </w:pPr>
      <w:bookmarkStart w:id="114" w:name="索引"/>
      <w:bookmarkEnd w:id="114"/>
      <w:r>
        <w:rPr>
          <w:rFonts w:hint="eastAsia" w:asciiTheme="minorEastAsia" w:hAnsiTheme="minorEastAsia" w:eastAsiaTheme="minorEastAsia" w:cstheme="minorEastAsia"/>
          <w:color w:val="auto"/>
        </w:rPr>
        <w:t>索引</w:t>
      </w:r>
    </w:p>
    <w:p w14:paraId="01090330">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一、标的说明一览表</w:t>
      </w:r>
    </w:p>
    <w:p w14:paraId="639D0C71">
      <w:pPr>
        <w:pStyle w:val="6"/>
        <w:spacing w:before="161" w:line="364" w:lineRule="auto"/>
        <w:ind w:left="700" w:right="6245"/>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pacing w:val="-2"/>
        </w:rPr>
        <w:t>二、技术和服务要求响应表</w:t>
      </w:r>
      <w:r>
        <w:rPr>
          <w:rFonts w:hint="eastAsia" w:asciiTheme="minorEastAsia" w:hAnsiTheme="minorEastAsia" w:eastAsiaTheme="minorEastAsia" w:cstheme="minorEastAsia"/>
          <w:color w:val="auto"/>
        </w:rPr>
        <w:t>三、商务条件响应表</w:t>
      </w:r>
    </w:p>
    <w:p w14:paraId="39741491">
      <w:pPr>
        <w:pStyle w:val="6"/>
        <w:spacing w:before="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四、投标人提交的其他资料（若有）</w:t>
      </w:r>
    </w:p>
    <w:p w14:paraId="7FCC2A29">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7A2BB805">
      <w:pPr>
        <w:pStyle w:val="6"/>
        <w:spacing w:before="160" w:line="364" w:lineRule="auto"/>
        <w:ind w:right="485"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技术商务部分中不得出现报价部分的全部或部分的投标报价信息（或组成资料）， 否则符合性审查不合格。</w:t>
      </w:r>
    </w:p>
    <w:p w14:paraId="71726B19">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1E4D7BB0">
      <w:pPr>
        <w:pStyle w:val="6"/>
        <w:tabs>
          <w:tab w:val="left" w:pos="3879"/>
        </w:tabs>
        <w:spacing w:before="177"/>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项目编号：</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p>
    <w:p w14:paraId="7934348A">
      <w:pPr>
        <w:pStyle w:val="4"/>
        <w:spacing w:before="42"/>
        <w:ind w:left="20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b w:val="0"/>
          <w:color w:val="auto"/>
        </w:rPr>
        <w:br w:type="column"/>
      </w:r>
      <w:bookmarkStart w:id="115" w:name="一、标的说明一览表"/>
      <w:bookmarkEnd w:id="115"/>
      <w:r>
        <w:rPr>
          <w:rFonts w:hint="eastAsia" w:asciiTheme="minorEastAsia" w:hAnsiTheme="minorEastAsia" w:eastAsiaTheme="minorEastAsia" w:cstheme="minorEastAsia"/>
          <w:color w:val="auto"/>
        </w:rPr>
        <w:t>一、标的说明一览表</w:t>
      </w:r>
    </w:p>
    <w:p w14:paraId="136C35F5">
      <w:pPr>
        <w:spacing w:after="0"/>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equalWidth="0" w:num="2">
            <w:col w:w="3880" w:space="40"/>
            <w:col w:w="5910"/>
          </w:cols>
        </w:sectPr>
      </w:pPr>
    </w:p>
    <w:tbl>
      <w:tblPr>
        <w:tblStyle w:val="18"/>
        <w:tblW w:w="0" w:type="auto"/>
        <w:tblInd w:w="1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39"/>
        <w:gridCol w:w="1539"/>
        <w:gridCol w:w="1540"/>
        <w:gridCol w:w="1540"/>
        <w:gridCol w:w="1540"/>
        <w:gridCol w:w="1540"/>
      </w:tblGrid>
      <w:tr w14:paraId="12BE44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1539" w:type="dxa"/>
          </w:tcPr>
          <w:p w14:paraId="08E74CE9">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采购包</w:t>
            </w:r>
          </w:p>
        </w:tc>
        <w:tc>
          <w:tcPr>
            <w:tcW w:w="1539" w:type="dxa"/>
          </w:tcPr>
          <w:p w14:paraId="6A766AEA">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品目号</w:t>
            </w:r>
          </w:p>
        </w:tc>
        <w:tc>
          <w:tcPr>
            <w:tcW w:w="1540" w:type="dxa"/>
          </w:tcPr>
          <w:p w14:paraId="5B7748A9">
            <w:pPr>
              <w:pStyle w:val="25"/>
              <w:spacing w:before="80"/>
              <w:ind w:left="106"/>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投标标的</w:t>
            </w:r>
          </w:p>
        </w:tc>
        <w:tc>
          <w:tcPr>
            <w:tcW w:w="1540" w:type="dxa"/>
          </w:tcPr>
          <w:p w14:paraId="5AE35A34">
            <w:pPr>
              <w:pStyle w:val="25"/>
              <w:spacing w:before="80"/>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规格</w:t>
            </w:r>
          </w:p>
        </w:tc>
        <w:tc>
          <w:tcPr>
            <w:tcW w:w="1540" w:type="dxa"/>
          </w:tcPr>
          <w:p w14:paraId="1C0F99D8">
            <w:pPr>
              <w:pStyle w:val="25"/>
              <w:spacing w:before="80"/>
              <w:ind w:left="108"/>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来源地</w:t>
            </w:r>
          </w:p>
        </w:tc>
        <w:tc>
          <w:tcPr>
            <w:tcW w:w="1540" w:type="dxa"/>
          </w:tcPr>
          <w:p w14:paraId="4958885F">
            <w:pPr>
              <w:pStyle w:val="25"/>
              <w:spacing w:before="80"/>
              <w:ind w:left="106"/>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备注</w:t>
            </w:r>
          </w:p>
        </w:tc>
      </w:tr>
      <w:tr w14:paraId="5205AB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539" w:type="dxa"/>
            <w:vMerge w:val="restart"/>
          </w:tcPr>
          <w:p w14:paraId="130E6DBC">
            <w:pPr>
              <w:pStyle w:val="25"/>
              <w:spacing w:before="89"/>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1539" w:type="dxa"/>
          </w:tcPr>
          <w:p w14:paraId="16F39653">
            <w:pPr>
              <w:pStyle w:val="25"/>
              <w:spacing w:before="89"/>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w:t>
            </w:r>
          </w:p>
        </w:tc>
        <w:tc>
          <w:tcPr>
            <w:tcW w:w="1540" w:type="dxa"/>
          </w:tcPr>
          <w:p w14:paraId="1C5766EB">
            <w:pPr>
              <w:pStyle w:val="25"/>
              <w:rPr>
                <w:rFonts w:hint="eastAsia" w:asciiTheme="minorEastAsia" w:hAnsiTheme="minorEastAsia" w:eastAsiaTheme="minorEastAsia" w:cstheme="minorEastAsia"/>
                <w:color w:val="auto"/>
                <w:sz w:val="22"/>
              </w:rPr>
            </w:pPr>
          </w:p>
        </w:tc>
        <w:tc>
          <w:tcPr>
            <w:tcW w:w="1540" w:type="dxa"/>
          </w:tcPr>
          <w:p w14:paraId="75C375A0">
            <w:pPr>
              <w:pStyle w:val="25"/>
              <w:rPr>
                <w:rFonts w:hint="eastAsia" w:asciiTheme="minorEastAsia" w:hAnsiTheme="minorEastAsia" w:eastAsiaTheme="minorEastAsia" w:cstheme="minorEastAsia"/>
                <w:color w:val="auto"/>
                <w:sz w:val="22"/>
              </w:rPr>
            </w:pPr>
          </w:p>
        </w:tc>
        <w:tc>
          <w:tcPr>
            <w:tcW w:w="1540" w:type="dxa"/>
          </w:tcPr>
          <w:p w14:paraId="4A5E1874">
            <w:pPr>
              <w:pStyle w:val="25"/>
              <w:rPr>
                <w:rFonts w:hint="eastAsia" w:asciiTheme="minorEastAsia" w:hAnsiTheme="minorEastAsia" w:eastAsiaTheme="minorEastAsia" w:cstheme="minorEastAsia"/>
                <w:color w:val="auto"/>
                <w:sz w:val="22"/>
              </w:rPr>
            </w:pPr>
          </w:p>
        </w:tc>
        <w:tc>
          <w:tcPr>
            <w:tcW w:w="1540" w:type="dxa"/>
          </w:tcPr>
          <w:p w14:paraId="42F79A84">
            <w:pPr>
              <w:pStyle w:val="25"/>
              <w:rPr>
                <w:rFonts w:hint="eastAsia" w:asciiTheme="minorEastAsia" w:hAnsiTheme="minorEastAsia" w:eastAsiaTheme="minorEastAsia" w:cstheme="minorEastAsia"/>
                <w:color w:val="auto"/>
                <w:sz w:val="22"/>
              </w:rPr>
            </w:pPr>
          </w:p>
        </w:tc>
      </w:tr>
      <w:tr w14:paraId="323DF3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539" w:type="dxa"/>
            <w:vMerge w:val="continue"/>
            <w:tcBorders>
              <w:top w:val="nil"/>
            </w:tcBorders>
          </w:tcPr>
          <w:p w14:paraId="720A8F87">
            <w:pPr>
              <w:rPr>
                <w:rFonts w:hint="eastAsia" w:asciiTheme="minorEastAsia" w:hAnsiTheme="minorEastAsia" w:eastAsiaTheme="minorEastAsia" w:cstheme="minorEastAsia"/>
                <w:color w:val="auto"/>
                <w:sz w:val="2"/>
                <w:szCs w:val="2"/>
              </w:rPr>
            </w:pPr>
          </w:p>
        </w:tc>
        <w:tc>
          <w:tcPr>
            <w:tcW w:w="1539" w:type="dxa"/>
          </w:tcPr>
          <w:p w14:paraId="35CFA588">
            <w:pPr>
              <w:pStyle w:val="25"/>
              <w:spacing w:before="82"/>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1540" w:type="dxa"/>
          </w:tcPr>
          <w:p w14:paraId="551395B4">
            <w:pPr>
              <w:pStyle w:val="25"/>
              <w:rPr>
                <w:rFonts w:hint="eastAsia" w:asciiTheme="minorEastAsia" w:hAnsiTheme="minorEastAsia" w:eastAsiaTheme="minorEastAsia" w:cstheme="minorEastAsia"/>
                <w:color w:val="auto"/>
                <w:sz w:val="22"/>
              </w:rPr>
            </w:pPr>
          </w:p>
        </w:tc>
        <w:tc>
          <w:tcPr>
            <w:tcW w:w="1540" w:type="dxa"/>
          </w:tcPr>
          <w:p w14:paraId="59D8B06F">
            <w:pPr>
              <w:pStyle w:val="25"/>
              <w:rPr>
                <w:rFonts w:hint="eastAsia" w:asciiTheme="minorEastAsia" w:hAnsiTheme="minorEastAsia" w:eastAsiaTheme="minorEastAsia" w:cstheme="minorEastAsia"/>
                <w:color w:val="auto"/>
                <w:sz w:val="22"/>
              </w:rPr>
            </w:pPr>
          </w:p>
        </w:tc>
        <w:tc>
          <w:tcPr>
            <w:tcW w:w="1540" w:type="dxa"/>
          </w:tcPr>
          <w:p w14:paraId="05535108">
            <w:pPr>
              <w:pStyle w:val="25"/>
              <w:rPr>
                <w:rFonts w:hint="eastAsia" w:asciiTheme="minorEastAsia" w:hAnsiTheme="minorEastAsia" w:eastAsiaTheme="minorEastAsia" w:cstheme="minorEastAsia"/>
                <w:color w:val="auto"/>
                <w:sz w:val="22"/>
              </w:rPr>
            </w:pPr>
          </w:p>
        </w:tc>
        <w:tc>
          <w:tcPr>
            <w:tcW w:w="1540" w:type="dxa"/>
          </w:tcPr>
          <w:p w14:paraId="133EA9D1">
            <w:pPr>
              <w:pStyle w:val="25"/>
              <w:rPr>
                <w:rFonts w:hint="eastAsia" w:asciiTheme="minorEastAsia" w:hAnsiTheme="minorEastAsia" w:eastAsiaTheme="minorEastAsia" w:cstheme="minorEastAsia"/>
                <w:color w:val="auto"/>
                <w:sz w:val="22"/>
              </w:rPr>
            </w:pPr>
          </w:p>
        </w:tc>
      </w:tr>
      <w:tr w14:paraId="7882DD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539" w:type="dxa"/>
          </w:tcPr>
          <w:p w14:paraId="75AEA991">
            <w:pPr>
              <w:pStyle w:val="25"/>
              <w:spacing w:before="82"/>
              <w:ind w:left="107"/>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w:t>
            </w:r>
          </w:p>
        </w:tc>
        <w:tc>
          <w:tcPr>
            <w:tcW w:w="1539" w:type="dxa"/>
          </w:tcPr>
          <w:p w14:paraId="0CBB6A1D">
            <w:pPr>
              <w:pStyle w:val="25"/>
              <w:rPr>
                <w:rFonts w:hint="eastAsia" w:asciiTheme="minorEastAsia" w:hAnsiTheme="minorEastAsia" w:eastAsiaTheme="minorEastAsia" w:cstheme="minorEastAsia"/>
                <w:color w:val="auto"/>
                <w:sz w:val="22"/>
              </w:rPr>
            </w:pPr>
          </w:p>
        </w:tc>
        <w:tc>
          <w:tcPr>
            <w:tcW w:w="1540" w:type="dxa"/>
          </w:tcPr>
          <w:p w14:paraId="7D101EA1">
            <w:pPr>
              <w:pStyle w:val="25"/>
              <w:rPr>
                <w:rFonts w:hint="eastAsia" w:asciiTheme="minorEastAsia" w:hAnsiTheme="minorEastAsia" w:eastAsiaTheme="minorEastAsia" w:cstheme="minorEastAsia"/>
                <w:color w:val="auto"/>
                <w:sz w:val="22"/>
              </w:rPr>
            </w:pPr>
          </w:p>
        </w:tc>
        <w:tc>
          <w:tcPr>
            <w:tcW w:w="1540" w:type="dxa"/>
          </w:tcPr>
          <w:p w14:paraId="5A1307A7">
            <w:pPr>
              <w:pStyle w:val="25"/>
              <w:rPr>
                <w:rFonts w:hint="eastAsia" w:asciiTheme="minorEastAsia" w:hAnsiTheme="minorEastAsia" w:eastAsiaTheme="minorEastAsia" w:cstheme="minorEastAsia"/>
                <w:color w:val="auto"/>
                <w:sz w:val="22"/>
              </w:rPr>
            </w:pPr>
          </w:p>
        </w:tc>
        <w:tc>
          <w:tcPr>
            <w:tcW w:w="1540" w:type="dxa"/>
          </w:tcPr>
          <w:p w14:paraId="29F41E54">
            <w:pPr>
              <w:pStyle w:val="25"/>
              <w:rPr>
                <w:rFonts w:hint="eastAsia" w:asciiTheme="minorEastAsia" w:hAnsiTheme="minorEastAsia" w:eastAsiaTheme="minorEastAsia" w:cstheme="minorEastAsia"/>
                <w:color w:val="auto"/>
                <w:sz w:val="22"/>
              </w:rPr>
            </w:pPr>
          </w:p>
        </w:tc>
        <w:tc>
          <w:tcPr>
            <w:tcW w:w="1540" w:type="dxa"/>
          </w:tcPr>
          <w:p w14:paraId="660BE99D">
            <w:pPr>
              <w:pStyle w:val="25"/>
              <w:rPr>
                <w:rFonts w:hint="eastAsia" w:asciiTheme="minorEastAsia" w:hAnsiTheme="minorEastAsia" w:eastAsiaTheme="minorEastAsia" w:cstheme="minorEastAsia"/>
                <w:color w:val="auto"/>
                <w:sz w:val="22"/>
              </w:rPr>
            </w:pPr>
          </w:p>
        </w:tc>
      </w:tr>
    </w:tbl>
    <w:p w14:paraId="79AB5974">
      <w:pPr>
        <w:pStyle w:val="6"/>
        <w:spacing w:before="82"/>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5950BABF">
      <w:pPr>
        <w:pStyle w:val="6"/>
        <w:spacing w:before="160"/>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1、本表应按照下列规定填写：</w:t>
      </w:r>
    </w:p>
    <w:p w14:paraId="22065EE3">
      <w:pPr>
        <w:pStyle w:val="24"/>
        <w:numPr>
          <w:ilvl w:val="1"/>
          <w:numId w:val="82"/>
        </w:numPr>
        <w:tabs>
          <w:tab w:val="left" w:pos="1006"/>
        </w:tabs>
        <w:spacing w:before="161" w:after="0" w:line="364"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“采购包”、“品目号”、“投标标的”及“数量”应与招标文件《采购标的</w:t>
      </w:r>
      <w:r>
        <w:rPr>
          <w:rFonts w:hint="eastAsia" w:asciiTheme="minorEastAsia" w:hAnsiTheme="minorEastAsia" w:eastAsiaTheme="minorEastAsia" w:cstheme="minorEastAsia"/>
          <w:color w:val="auto"/>
          <w:spacing w:val="-3"/>
          <w:sz w:val="24"/>
        </w:rPr>
        <w:t>一览表》中的有关内容</w:t>
      </w:r>
      <w:r>
        <w:rPr>
          <w:rFonts w:hint="eastAsia" w:asciiTheme="minorEastAsia" w:hAnsiTheme="minorEastAsia" w:eastAsiaTheme="minorEastAsia" w:cstheme="minorEastAsia"/>
          <w:color w:val="auto"/>
          <w:spacing w:val="-4"/>
          <w:sz w:val="24"/>
        </w:rPr>
        <w:t>（</w:t>
      </w:r>
      <w:r>
        <w:rPr>
          <w:rFonts w:hint="eastAsia" w:asciiTheme="minorEastAsia" w:hAnsiTheme="minorEastAsia" w:eastAsiaTheme="minorEastAsia" w:cstheme="minorEastAsia"/>
          <w:color w:val="auto"/>
          <w:spacing w:val="-8"/>
          <w:sz w:val="24"/>
        </w:rPr>
        <w:t>“采购包”、“品目号”、“采购标的”及“数量”）</w:t>
      </w:r>
      <w:r>
        <w:rPr>
          <w:rFonts w:hint="eastAsia" w:asciiTheme="minorEastAsia" w:hAnsiTheme="minorEastAsia" w:eastAsiaTheme="minorEastAsia" w:cstheme="minorEastAsia"/>
          <w:color w:val="auto"/>
          <w:sz w:val="24"/>
        </w:rPr>
        <w:t>保持一致。</w:t>
      </w:r>
    </w:p>
    <w:p w14:paraId="530DDADE">
      <w:pPr>
        <w:pStyle w:val="24"/>
        <w:numPr>
          <w:ilvl w:val="1"/>
          <w:numId w:val="82"/>
        </w:numPr>
        <w:tabs>
          <w:tab w:val="left" w:pos="1006"/>
        </w:tabs>
        <w:spacing w:before="2" w:after="0" w:line="364" w:lineRule="auto"/>
        <w:ind w:left="220" w:right="485"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“投标标的”为货物的：“规格”项下应填写货物制造厂商赋予的品牌（属于</w:t>
      </w:r>
      <w:r>
        <w:rPr>
          <w:rFonts w:hint="eastAsia" w:asciiTheme="minorEastAsia" w:hAnsiTheme="minorEastAsia" w:eastAsiaTheme="minorEastAsia" w:cstheme="minorEastAsia"/>
          <w:color w:val="auto"/>
          <w:spacing w:val="-8"/>
          <w:sz w:val="24"/>
        </w:rPr>
        <w:t>节能、环保清单产品的货物，填写的品牌名称应与清单载明的品牌名称保持一致</w:t>
      </w:r>
      <w:r>
        <w:rPr>
          <w:rFonts w:hint="eastAsia" w:asciiTheme="minorEastAsia" w:hAnsiTheme="minorEastAsia" w:eastAsiaTheme="minorEastAsia" w:cstheme="minorEastAsia"/>
          <w:color w:val="auto"/>
          <w:spacing w:val="-32"/>
          <w:sz w:val="24"/>
        </w:rPr>
        <w:t>）</w:t>
      </w:r>
      <w:r>
        <w:rPr>
          <w:rFonts w:hint="eastAsia" w:asciiTheme="minorEastAsia" w:hAnsiTheme="minorEastAsia" w:eastAsiaTheme="minorEastAsia" w:cstheme="minorEastAsia"/>
          <w:color w:val="auto"/>
          <w:sz w:val="24"/>
        </w:rPr>
        <w:t>及具</w:t>
      </w:r>
      <w:r>
        <w:rPr>
          <w:rFonts w:hint="eastAsia" w:asciiTheme="minorEastAsia" w:hAnsiTheme="minorEastAsia" w:eastAsiaTheme="minorEastAsia" w:cstheme="minorEastAsia"/>
          <w:color w:val="auto"/>
          <w:spacing w:val="-11"/>
          <w:sz w:val="24"/>
        </w:rPr>
        <w:t>体型号。“来源地”应填写货物的原产地。“备注”项下应填写货物的详细性能说明及</w:t>
      </w:r>
      <w:r>
        <w:rPr>
          <w:rFonts w:hint="eastAsia" w:asciiTheme="minorEastAsia" w:hAnsiTheme="minorEastAsia" w:eastAsiaTheme="minorEastAsia" w:cstheme="minorEastAsia"/>
          <w:color w:val="auto"/>
          <w:spacing w:val="-14"/>
          <w:sz w:val="24"/>
        </w:rPr>
        <w:t>供货范围清单</w:t>
      </w:r>
      <w:r>
        <w:rPr>
          <w:rFonts w:hint="eastAsia" w:asciiTheme="minorEastAsia" w:hAnsiTheme="minorEastAsia" w:eastAsiaTheme="minorEastAsia" w:cstheme="minorEastAsia"/>
          <w:color w:val="auto"/>
          <w:sz w:val="24"/>
        </w:rPr>
        <w:t>（若有</w:t>
      </w:r>
      <w:r>
        <w:rPr>
          <w:rFonts w:hint="eastAsia" w:asciiTheme="minorEastAsia" w:hAnsiTheme="minorEastAsia" w:eastAsiaTheme="minorEastAsia" w:cstheme="minorEastAsia"/>
          <w:color w:val="auto"/>
          <w:spacing w:val="-24"/>
          <w:sz w:val="24"/>
        </w:rPr>
        <w:t>），</w:t>
      </w:r>
      <w:r>
        <w:rPr>
          <w:rFonts w:hint="eastAsia" w:asciiTheme="minorEastAsia" w:hAnsiTheme="minorEastAsia" w:eastAsiaTheme="minorEastAsia" w:cstheme="minorEastAsia"/>
          <w:color w:val="auto"/>
          <w:spacing w:val="-2"/>
          <w:sz w:val="24"/>
        </w:rPr>
        <w:t>其中供货范围清单包括但不限于：组成货物的主要件和关键件的名称、数量、原产地，专用工具（若有）的名称、数量、原产地，备品备件（若有</w:t>
      </w:r>
      <w:r>
        <w:rPr>
          <w:rFonts w:hint="eastAsia" w:asciiTheme="minorEastAsia" w:hAnsiTheme="minorEastAsia" w:eastAsiaTheme="minorEastAsia" w:cstheme="minorEastAsia"/>
          <w:color w:val="auto"/>
          <w:spacing w:val="-19"/>
          <w:sz w:val="24"/>
        </w:rPr>
        <w:t xml:space="preserve">） </w:t>
      </w:r>
      <w:r>
        <w:rPr>
          <w:rFonts w:hint="eastAsia" w:asciiTheme="minorEastAsia" w:hAnsiTheme="minorEastAsia" w:eastAsiaTheme="minorEastAsia" w:cstheme="minorEastAsia"/>
          <w:color w:val="auto"/>
          <w:sz w:val="24"/>
        </w:rPr>
        <w:t>的名称、数量、原产地等。</w:t>
      </w:r>
    </w:p>
    <w:p w14:paraId="2475B9D0">
      <w:pPr>
        <w:pStyle w:val="24"/>
        <w:numPr>
          <w:ilvl w:val="1"/>
          <w:numId w:val="82"/>
        </w:numPr>
        <w:tabs>
          <w:tab w:val="left" w:pos="1006"/>
        </w:tabs>
        <w:spacing w:before="3" w:after="0" w:line="364"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“投标标的”为服务的：“规格”项下应填写服务提供者提供的服务标准及品</w:t>
      </w:r>
      <w:r>
        <w:rPr>
          <w:rFonts w:hint="eastAsia" w:asciiTheme="minorEastAsia" w:hAnsiTheme="minorEastAsia" w:eastAsiaTheme="minorEastAsia" w:cstheme="minorEastAsia"/>
          <w:color w:val="auto"/>
          <w:spacing w:val="-12"/>
          <w:sz w:val="24"/>
        </w:rPr>
        <w:t>牌</w:t>
      </w:r>
      <w:r>
        <w:rPr>
          <w:rFonts w:hint="eastAsia" w:asciiTheme="minorEastAsia" w:hAnsiTheme="minorEastAsia" w:eastAsiaTheme="minorEastAsia" w:cstheme="minorEastAsia"/>
          <w:color w:val="auto"/>
          <w:sz w:val="24"/>
        </w:rPr>
        <w:t>（若有</w:t>
      </w:r>
      <w:r>
        <w:rPr>
          <w:rFonts w:hint="eastAsia" w:asciiTheme="minorEastAsia" w:hAnsiTheme="minorEastAsia" w:eastAsiaTheme="minorEastAsia" w:cstheme="minorEastAsia"/>
          <w:color w:val="auto"/>
          <w:spacing w:val="-12"/>
          <w:sz w:val="24"/>
        </w:rPr>
        <w:t>）</w:t>
      </w:r>
      <w:r>
        <w:rPr>
          <w:rFonts w:hint="eastAsia" w:asciiTheme="minorEastAsia" w:hAnsiTheme="minorEastAsia" w:eastAsiaTheme="minorEastAsia" w:cstheme="minorEastAsia"/>
          <w:color w:val="auto"/>
          <w:spacing w:val="-9"/>
          <w:sz w:val="24"/>
        </w:rPr>
        <w:t>。“来源地”应填写服务提供者的所在地。“备注”项下应填写关于服务标</w:t>
      </w:r>
      <w:r>
        <w:rPr>
          <w:rFonts w:hint="eastAsia" w:asciiTheme="minorEastAsia" w:hAnsiTheme="minorEastAsia" w:eastAsiaTheme="minorEastAsia" w:cstheme="minorEastAsia"/>
          <w:color w:val="auto"/>
          <w:sz w:val="24"/>
        </w:rPr>
        <w:t>准所涵盖的具体项目或内容的说明等。</w:t>
      </w:r>
    </w:p>
    <w:p w14:paraId="4B3CD525">
      <w:pPr>
        <w:pStyle w:val="6"/>
        <w:spacing w:before="2"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w:t>
      </w:r>
      <w:r>
        <w:rPr>
          <w:rFonts w:hint="eastAsia" w:asciiTheme="minorEastAsia" w:hAnsiTheme="minorEastAsia" w:eastAsiaTheme="minorEastAsia" w:cstheme="minorEastAsia"/>
          <w:color w:val="auto"/>
          <w:spacing w:val="-1"/>
        </w:rPr>
        <w:t>、投标人需要说明的内容若需特殊表达，应先在本表中进行相应说明，再另页应</w:t>
      </w:r>
      <w:r>
        <w:rPr>
          <w:rFonts w:hint="eastAsia" w:asciiTheme="minorEastAsia" w:hAnsiTheme="minorEastAsia" w:eastAsiaTheme="minorEastAsia" w:cstheme="minorEastAsia"/>
          <w:color w:val="auto"/>
          <w:spacing w:val="-12"/>
        </w:rPr>
        <w:t>答，但应做好标注说明，方便评委查阅评审。未标注说明可能导致的不利的评审后果由</w:t>
      </w:r>
      <w:r>
        <w:rPr>
          <w:rFonts w:hint="eastAsia" w:asciiTheme="minorEastAsia" w:hAnsiTheme="minorEastAsia" w:eastAsiaTheme="minorEastAsia" w:cstheme="minorEastAsia"/>
          <w:color w:val="auto"/>
        </w:rPr>
        <w:t>投标人自行承担。</w:t>
      </w:r>
    </w:p>
    <w:p w14:paraId="2354DA69">
      <w:pPr>
        <w:pStyle w:val="6"/>
        <w:spacing w:before="2" w:line="364" w:lineRule="auto"/>
        <w:ind w:right="580"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3、投标文件中涉及“投标标的”、“数量”、“规格”、“来源地”的内容若不一致，应以本表为准。</w:t>
      </w:r>
    </w:p>
    <w:p w14:paraId="33B546B0">
      <w:pPr>
        <w:pStyle w:val="6"/>
        <w:tabs>
          <w:tab w:val="left" w:pos="7566"/>
          <w:tab w:val="left" w:pos="8286"/>
          <w:tab w:val="left" w:pos="9006"/>
        </w:tabs>
        <w:spacing w:before="1"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27BBBA6F">
      <w:pPr>
        <w:spacing w:after="0" w:line="364" w:lineRule="auto"/>
        <w:rPr>
          <w:rFonts w:hint="eastAsia" w:asciiTheme="minorEastAsia" w:hAnsiTheme="minorEastAsia" w:eastAsiaTheme="minorEastAsia" w:cstheme="minorEastAsia"/>
          <w:color w:val="auto"/>
        </w:rPr>
        <w:sectPr>
          <w:type w:val="continuous"/>
          <w:pgSz w:w="11910" w:h="16840"/>
          <w:pgMar w:top="1580" w:right="860" w:bottom="1080" w:left="1220" w:header="720" w:footer="720" w:gutter="0"/>
          <w:pgNumType w:fmt="decimal"/>
          <w:cols w:space="720" w:num="1"/>
        </w:sectPr>
      </w:pPr>
    </w:p>
    <w:p w14:paraId="7656AB46">
      <w:pPr>
        <w:tabs>
          <w:tab w:val="left" w:pos="3879"/>
        </w:tabs>
        <w:spacing w:before="42" w:line="364" w:lineRule="auto"/>
        <w:ind w:left="700" w:right="3167" w:firstLine="3067"/>
        <w:jc w:val="left"/>
        <w:rPr>
          <w:rFonts w:hint="eastAsia" w:asciiTheme="minorEastAsia" w:hAnsiTheme="minorEastAsia" w:eastAsiaTheme="minorEastAsia" w:cstheme="minorEastAsia"/>
          <w:color w:val="auto"/>
          <w:sz w:val="24"/>
        </w:rPr>
      </w:pPr>
      <w:bookmarkStart w:id="116" w:name="二、技术和服务要求响应表"/>
      <w:bookmarkEnd w:id="116"/>
      <w:r>
        <w:rPr>
          <w:rFonts w:hint="eastAsia" w:asciiTheme="minorEastAsia" w:hAnsiTheme="minorEastAsia" w:eastAsiaTheme="minorEastAsia" w:cstheme="minorEastAsia"/>
          <w:b/>
          <w:color w:val="auto"/>
          <w:sz w:val="24"/>
        </w:rPr>
        <w:t>二、技术和服务要求响应</w:t>
      </w:r>
      <w:r>
        <w:rPr>
          <w:rFonts w:hint="eastAsia" w:asciiTheme="minorEastAsia" w:hAnsiTheme="minorEastAsia" w:eastAsiaTheme="minorEastAsia" w:cstheme="minorEastAsia"/>
          <w:b/>
          <w:color w:val="auto"/>
          <w:spacing w:val="-16"/>
          <w:sz w:val="24"/>
        </w:rPr>
        <w:t>表</w:t>
      </w:r>
      <w:r>
        <w:rPr>
          <w:rFonts w:hint="eastAsia" w:asciiTheme="minorEastAsia" w:hAnsiTheme="minorEastAsia" w:eastAsiaTheme="minorEastAsia" w:cstheme="minorEastAsia"/>
          <w:color w:val="auto"/>
          <w:sz w:val="24"/>
        </w:rPr>
        <w:t>项目编号：</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rPr>
        <w:tab/>
      </w:r>
    </w:p>
    <w:tbl>
      <w:tblPr>
        <w:tblStyle w:val="18"/>
        <w:tblW w:w="0" w:type="auto"/>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47"/>
        <w:gridCol w:w="1847"/>
        <w:gridCol w:w="1848"/>
        <w:gridCol w:w="1848"/>
        <w:gridCol w:w="1848"/>
      </w:tblGrid>
      <w:tr w14:paraId="7A8B17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6" w:hRule="atLeast"/>
        </w:trPr>
        <w:tc>
          <w:tcPr>
            <w:tcW w:w="1847" w:type="dxa"/>
          </w:tcPr>
          <w:p w14:paraId="59D4B5AA">
            <w:pPr>
              <w:pStyle w:val="25"/>
              <w:spacing w:before="80"/>
              <w:ind w:left="107"/>
              <w:rPr>
                <w:color w:val="auto"/>
                <w:sz w:val="24"/>
              </w:rPr>
            </w:pPr>
            <w:r>
              <w:rPr>
                <w:color w:val="auto"/>
                <w:sz w:val="24"/>
              </w:rPr>
              <w:t>采购包</w:t>
            </w:r>
          </w:p>
        </w:tc>
        <w:tc>
          <w:tcPr>
            <w:tcW w:w="1847" w:type="dxa"/>
          </w:tcPr>
          <w:p w14:paraId="2D688B74">
            <w:pPr>
              <w:pStyle w:val="25"/>
              <w:spacing w:before="80"/>
              <w:ind w:left="108"/>
              <w:rPr>
                <w:color w:val="auto"/>
                <w:sz w:val="24"/>
              </w:rPr>
            </w:pPr>
            <w:r>
              <w:rPr>
                <w:color w:val="auto"/>
                <w:sz w:val="24"/>
              </w:rPr>
              <w:t>品目号</w:t>
            </w:r>
          </w:p>
        </w:tc>
        <w:tc>
          <w:tcPr>
            <w:tcW w:w="1848" w:type="dxa"/>
          </w:tcPr>
          <w:p w14:paraId="3155BA9D">
            <w:pPr>
              <w:pStyle w:val="25"/>
              <w:spacing w:before="80"/>
              <w:ind w:left="107"/>
              <w:rPr>
                <w:color w:val="auto"/>
                <w:sz w:val="24"/>
              </w:rPr>
            </w:pPr>
            <w:r>
              <w:rPr>
                <w:color w:val="auto"/>
                <w:sz w:val="24"/>
              </w:rPr>
              <w:t>技术和服务要</w:t>
            </w:r>
          </w:p>
          <w:p w14:paraId="60849AB4">
            <w:pPr>
              <w:pStyle w:val="25"/>
              <w:spacing w:before="160"/>
              <w:ind w:left="107"/>
              <w:rPr>
                <w:color w:val="auto"/>
                <w:sz w:val="24"/>
              </w:rPr>
            </w:pPr>
            <w:r>
              <w:rPr>
                <w:color w:val="auto"/>
                <w:sz w:val="24"/>
              </w:rPr>
              <w:t>求</w:t>
            </w:r>
          </w:p>
        </w:tc>
        <w:tc>
          <w:tcPr>
            <w:tcW w:w="1848" w:type="dxa"/>
          </w:tcPr>
          <w:p w14:paraId="5B142B2F">
            <w:pPr>
              <w:pStyle w:val="25"/>
              <w:spacing w:before="80"/>
              <w:ind w:left="107"/>
              <w:rPr>
                <w:color w:val="auto"/>
                <w:sz w:val="24"/>
              </w:rPr>
            </w:pPr>
            <w:r>
              <w:rPr>
                <w:color w:val="auto"/>
                <w:sz w:val="24"/>
              </w:rPr>
              <w:t>投标响应</w:t>
            </w:r>
          </w:p>
        </w:tc>
        <w:tc>
          <w:tcPr>
            <w:tcW w:w="1848" w:type="dxa"/>
          </w:tcPr>
          <w:p w14:paraId="37348B6F">
            <w:pPr>
              <w:pStyle w:val="25"/>
              <w:spacing w:before="80"/>
              <w:ind w:left="107"/>
              <w:rPr>
                <w:color w:val="auto"/>
                <w:sz w:val="24"/>
              </w:rPr>
            </w:pPr>
            <w:r>
              <w:rPr>
                <w:color w:val="auto"/>
                <w:sz w:val="24"/>
              </w:rPr>
              <w:t>是否偏离及说</w:t>
            </w:r>
          </w:p>
          <w:p w14:paraId="61E7F507">
            <w:pPr>
              <w:pStyle w:val="25"/>
              <w:spacing w:before="160"/>
              <w:ind w:left="107"/>
              <w:rPr>
                <w:color w:val="auto"/>
                <w:sz w:val="24"/>
              </w:rPr>
            </w:pPr>
            <w:r>
              <w:rPr>
                <w:color w:val="auto"/>
                <w:sz w:val="24"/>
              </w:rPr>
              <w:t>明</w:t>
            </w:r>
          </w:p>
        </w:tc>
      </w:tr>
      <w:tr w14:paraId="21C9E4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847" w:type="dxa"/>
            <w:vMerge w:val="restart"/>
          </w:tcPr>
          <w:p w14:paraId="5D6160F4">
            <w:pPr>
              <w:pStyle w:val="25"/>
              <w:spacing w:before="89"/>
              <w:ind w:left="107"/>
              <w:rPr>
                <w:rFonts w:ascii="Calibri"/>
                <w:color w:val="auto"/>
                <w:sz w:val="24"/>
              </w:rPr>
            </w:pPr>
            <w:r>
              <w:rPr>
                <w:rFonts w:ascii="Calibri"/>
                <w:color w:val="auto"/>
                <w:sz w:val="24"/>
              </w:rPr>
              <w:t>*</w:t>
            </w:r>
          </w:p>
        </w:tc>
        <w:tc>
          <w:tcPr>
            <w:tcW w:w="1847" w:type="dxa"/>
          </w:tcPr>
          <w:p w14:paraId="5F5F2EC0">
            <w:pPr>
              <w:pStyle w:val="25"/>
              <w:spacing w:before="89"/>
              <w:ind w:left="108"/>
              <w:rPr>
                <w:rFonts w:ascii="Calibri"/>
                <w:color w:val="auto"/>
                <w:sz w:val="24"/>
              </w:rPr>
            </w:pPr>
            <w:r>
              <w:rPr>
                <w:rFonts w:ascii="Calibri"/>
                <w:color w:val="auto"/>
                <w:sz w:val="24"/>
              </w:rPr>
              <w:t>*-1</w:t>
            </w:r>
          </w:p>
        </w:tc>
        <w:tc>
          <w:tcPr>
            <w:tcW w:w="1848" w:type="dxa"/>
          </w:tcPr>
          <w:p w14:paraId="489D41D8">
            <w:pPr>
              <w:pStyle w:val="25"/>
              <w:rPr>
                <w:rFonts w:ascii="Times New Roman"/>
                <w:color w:val="auto"/>
                <w:sz w:val="22"/>
              </w:rPr>
            </w:pPr>
          </w:p>
        </w:tc>
        <w:tc>
          <w:tcPr>
            <w:tcW w:w="1848" w:type="dxa"/>
          </w:tcPr>
          <w:p w14:paraId="112D2538">
            <w:pPr>
              <w:pStyle w:val="25"/>
              <w:rPr>
                <w:rFonts w:ascii="Times New Roman"/>
                <w:color w:val="auto"/>
                <w:sz w:val="22"/>
              </w:rPr>
            </w:pPr>
          </w:p>
        </w:tc>
        <w:tc>
          <w:tcPr>
            <w:tcW w:w="1848" w:type="dxa"/>
          </w:tcPr>
          <w:p w14:paraId="2F608EB7">
            <w:pPr>
              <w:pStyle w:val="25"/>
              <w:rPr>
                <w:rFonts w:ascii="Times New Roman"/>
                <w:color w:val="auto"/>
                <w:sz w:val="22"/>
              </w:rPr>
            </w:pPr>
          </w:p>
        </w:tc>
      </w:tr>
      <w:tr w14:paraId="42990B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847" w:type="dxa"/>
            <w:vMerge w:val="continue"/>
            <w:tcBorders>
              <w:top w:val="nil"/>
            </w:tcBorders>
          </w:tcPr>
          <w:p w14:paraId="5A6309EC">
            <w:pPr>
              <w:rPr>
                <w:color w:val="auto"/>
                <w:sz w:val="2"/>
                <w:szCs w:val="2"/>
              </w:rPr>
            </w:pPr>
          </w:p>
        </w:tc>
        <w:tc>
          <w:tcPr>
            <w:tcW w:w="1847" w:type="dxa"/>
          </w:tcPr>
          <w:p w14:paraId="5332E2BE">
            <w:pPr>
              <w:pStyle w:val="25"/>
              <w:spacing w:before="82"/>
              <w:ind w:left="108"/>
              <w:rPr>
                <w:color w:val="auto"/>
                <w:sz w:val="24"/>
              </w:rPr>
            </w:pPr>
            <w:r>
              <w:rPr>
                <w:color w:val="auto"/>
                <w:sz w:val="24"/>
              </w:rPr>
              <w:t>…</w:t>
            </w:r>
          </w:p>
        </w:tc>
        <w:tc>
          <w:tcPr>
            <w:tcW w:w="1848" w:type="dxa"/>
          </w:tcPr>
          <w:p w14:paraId="1334F030">
            <w:pPr>
              <w:pStyle w:val="25"/>
              <w:rPr>
                <w:rFonts w:ascii="Times New Roman"/>
                <w:color w:val="auto"/>
                <w:sz w:val="22"/>
              </w:rPr>
            </w:pPr>
          </w:p>
        </w:tc>
        <w:tc>
          <w:tcPr>
            <w:tcW w:w="1848" w:type="dxa"/>
          </w:tcPr>
          <w:p w14:paraId="4E1C3F93">
            <w:pPr>
              <w:pStyle w:val="25"/>
              <w:rPr>
                <w:rFonts w:ascii="Times New Roman"/>
                <w:color w:val="auto"/>
                <w:sz w:val="22"/>
              </w:rPr>
            </w:pPr>
          </w:p>
        </w:tc>
        <w:tc>
          <w:tcPr>
            <w:tcW w:w="1848" w:type="dxa"/>
          </w:tcPr>
          <w:p w14:paraId="492953A8">
            <w:pPr>
              <w:pStyle w:val="25"/>
              <w:rPr>
                <w:rFonts w:ascii="Times New Roman"/>
                <w:color w:val="auto"/>
                <w:sz w:val="22"/>
              </w:rPr>
            </w:pPr>
          </w:p>
        </w:tc>
      </w:tr>
      <w:tr w14:paraId="550A63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847" w:type="dxa"/>
          </w:tcPr>
          <w:p w14:paraId="68B7844F">
            <w:pPr>
              <w:pStyle w:val="25"/>
              <w:spacing w:before="82"/>
              <w:ind w:left="107"/>
              <w:rPr>
                <w:color w:val="auto"/>
                <w:sz w:val="24"/>
              </w:rPr>
            </w:pPr>
            <w:r>
              <w:rPr>
                <w:color w:val="auto"/>
                <w:sz w:val="24"/>
              </w:rPr>
              <w:t>…</w:t>
            </w:r>
          </w:p>
        </w:tc>
        <w:tc>
          <w:tcPr>
            <w:tcW w:w="1847" w:type="dxa"/>
          </w:tcPr>
          <w:p w14:paraId="14049707">
            <w:pPr>
              <w:pStyle w:val="25"/>
              <w:rPr>
                <w:rFonts w:ascii="Times New Roman"/>
                <w:color w:val="auto"/>
                <w:sz w:val="22"/>
              </w:rPr>
            </w:pPr>
          </w:p>
        </w:tc>
        <w:tc>
          <w:tcPr>
            <w:tcW w:w="1848" w:type="dxa"/>
          </w:tcPr>
          <w:p w14:paraId="2183C2DD">
            <w:pPr>
              <w:pStyle w:val="25"/>
              <w:rPr>
                <w:rFonts w:ascii="Times New Roman"/>
                <w:color w:val="auto"/>
                <w:sz w:val="22"/>
              </w:rPr>
            </w:pPr>
          </w:p>
        </w:tc>
        <w:tc>
          <w:tcPr>
            <w:tcW w:w="1848" w:type="dxa"/>
          </w:tcPr>
          <w:p w14:paraId="2F6C79A3">
            <w:pPr>
              <w:pStyle w:val="25"/>
              <w:rPr>
                <w:rFonts w:ascii="Times New Roman"/>
                <w:color w:val="auto"/>
                <w:sz w:val="22"/>
              </w:rPr>
            </w:pPr>
          </w:p>
        </w:tc>
        <w:tc>
          <w:tcPr>
            <w:tcW w:w="1848" w:type="dxa"/>
          </w:tcPr>
          <w:p w14:paraId="72CBCF52">
            <w:pPr>
              <w:pStyle w:val="25"/>
              <w:rPr>
                <w:rFonts w:ascii="Times New Roman"/>
                <w:color w:val="auto"/>
                <w:sz w:val="22"/>
              </w:rPr>
            </w:pPr>
          </w:p>
        </w:tc>
      </w:tr>
    </w:tbl>
    <w:p w14:paraId="57BE9EDE">
      <w:pPr>
        <w:pStyle w:val="6"/>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1DDB329E">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1、本表应按照下列规定填写：</w:t>
      </w:r>
    </w:p>
    <w:p w14:paraId="359CDFBA">
      <w:pPr>
        <w:pStyle w:val="24"/>
        <w:numPr>
          <w:ilvl w:val="1"/>
          <w:numId w:val="83"/>
        </w:numPr>
        <w:tabs>
          <w:tab w:val="left" w:pos="1006"/>
        </w:tabs>
        <w:spacing w:before="160" w:after="0" w:line="364" w:lineRule="auto"/>
        <w:ind w:left="220" w:right="581"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“技术和服务要求”项下填写的内容应与招标文件第五章“技术和服务要求” 的内容保持一致。</w:t>
      </w:r>
    </w:p>
    <w:p w14:paraId="5FDF484B">
      <w:pPr>
        <w:pStyle w:val="24"/>
        <w:numPr>
          <w:ilvl w:val="1"/>
          <w:numId w:val="83"/>
        </w:numPr>
        <w:tabs>
          <w:tab w:val="left" w:pos="1006"/>
        </w:tabs>
        <w:spacing w:before="1" w:after="0" w:line="364"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“投标响应”项下应填写具体的响应内容并与“技术和服务要求”项下填写的</w:t>
      </w:r>
      <w:r>
        <w:rPr>
          <w:rFonts w:hint="eastAsia" w:asciiTheme="minorEastAsia" w:hAnsiTheme="minorEastAsia" w:eastAsiaTheme="minorEastAsia" w:cstheme="minorEastAsia"/>
          <w:color w:val="auto"/>
          <w:spacing w:val="-8"/>
          <w:sz w:val="24"/>
        </w:rPr>
        <w:t>内容逐项对应；对招标文件“技术和服务要求”项下涉及“≥或＞”、“≤或＜”及某个区间值范围内的内容，投标响应应填写具体的数值，但技术指标只能以范围作响应的</w:t>
      </w:r>
      <w:r>
        <w:rPr>
          <w:rFonts w:hint="eastAsia" w:asciiTheme="minorEastAsia" w:hAnsiTheme="minorEastAsia" w:eastAsiaTheme="minorEastAsia" w:cstheme="minorEastAsia"/>
          <w:color w:val="auto"/>
          <w:sz w:val="24"/>
        </w:rPr>
        <w:t>除外。</w:t>
      </w:r>
    </w:p>
    <w:p w14:paraId="3398679D">
      <w:pPr>
        <w:pStyle w:val="24"/>
        <w:numPr>
          <w:ilvl w:val="1"/>
          <w:numId w:val="83"/>
        </w:numPr>
        <w:tabs>
          <w:tab w:val="left" w:pos="1006"/>
        </w:tabs>
        <w:spacing w:before="3" w:after="0" w:line="364" w:lineRule="auto"/>
        <w:ind w:left="220" w:right="577" w:firstLine="480"/>
        <w:jc w:val="both"/>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“是否偏离及说明”项下应按下列规定填写：优于的，填写“正偏离”；符合的，填写“无偏离”；低于的，填写“负偏离”。</w:t>
      </w:r>
    </w:p>
    <w:p w14:paraId="7B94DD03">
      <w:pPr>
        <w:pStyle w:val="6"/>
        <w:spacing w:before="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w:t>
      </w:r>
      <w:r>
        <w:rPr>
          <w:rFonts w:hint="eastAsia" w:asciiTheme="minorEastAsia" w:hAnsiTheme="minorEastAsia" w:eastAsiaTheme="minorEastAsia" w:cstheme="minorEastAsia"/>
          <w:color w:val="auto"/>
          <w:spacing w:val="-1"/>
        </w:rPr>
        <w:t>、投标人需要说明的内容若需特殊表达，应先在本表中进行相应说明，再另页应</w:t>
      </w:r>
      <w:r>
        <w:rPr>
          <w:rFonts w:hint="eastAsia" w:asciiTheme="minorEastAsia" w:hAnsiTheme="minorEastAsia" w:eastAsiaTheme="minorEastAsia" w:cstheme="minorEastAsia"/>
          <w:color w:val="auto"/>
          <w:spacing w:val="-12"/>
        </w:rPr>
        <w:t>答，但应做好标注说明，方便评委查阅评审。未标注说明可能导致的不利的评审后果由</w:t>
      </w:r>
      <w:r>
        <w:rPr>
          <w:rFonts w:hint="eastAsia" w:asciiTheme="minorEastAsia" w:hAnsiTheme="minorEastAsia" w:eastAsiaTheme="minorEastAsia" w:cstheme="minorEastAsia"/>
          <w:color w:val="auto"/>
        </w:rPr>
        <w:t>投标人自行承担。</w:t>
      </w:r>
    </w:p>
    <w:p w14:paraId="67303CBB">
      <w:pPr>
        <w:pStyle w:val="6"/>
        <w:tabs>
          <w:tab w:val="left" w:pos="7566"/>
          <w:tab w:val="left" w:pos="8286"/>
          <w:tab w:val="left" w:pos="9006"/>
        </w:tabs>
        <w:spacing w:before="2"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1ACA7BAE">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15C8595A">
      <w:pPr>
        <w:tabs>
          <w:tab w:val="left" w:pos="3879"/>
        </w:tabs>
        <w:spacing w:before="42" w:line="364" w:lineRule="auto"/>
        <w:ind w:left="700" w:right="4007" w:firstLine="2949"/>
        <w:jc w:val="left"/>
        <w:rPr>
          <w:rFonts w:hint="eastAsia" w:asciiTheme="minorEastAsia" w:hAnsiTheme="minorEastAsia" w:eastAsiaTheme="minorEastAsia" w:cstheme="minorEastAsia"/>
          <w:color w:val="auto"/>
          <w:sz w:val="24"/>
        </w:rPr>
      </w:pPr>
      <w:bookmarkStart w:id="117" w:name="三、商务条件响应表"/>
      <w:bookmarkEnd w:id="117"/>
      <w:r>
        <w:rPr>
          <w:rFonts w:hint="eastAsia" w:asciiTheme="minorEastAsia" w:hAnsiTheme="minorEastAsia" w:eastAsiaTheme="minorEastAsia" w:cstheme="minorEastAsia"/>
          <w:b/>
          <w:color w:val="auto"/>
          <w:sz w:val="24"/>
        </w:rPr>
        <w:t>三、商务条件响应</w:t>
      </w:r>
      <w:r>
        <w:rPr>
          <w:rFonts w:hint="eastAsia" w:asciiTheme="minorEastAsia" w:hAnsiTheme="minorEastAsia" w:eastAsiaTheme="minorEastAsia" w:cstheme="minorEastAsia"/>
          <w:b/>
          <w:color w:val="auto"/>
          <w:spacing w:val="-16"/>
          <w:sz w:val="24"/>
        </w:rPr>
        <w:t>表</w:t>
      </w:r>
      <w:r>
        <w:rPr>
          <w:rFonts w:hint="eastAsia" w:asciiTheme="minorEastAsia" w:hAnsiTheme="minorEastAsia" w:eastAsiaTheme="minorEastAsia" w:cstheme="minorEastAsia"/>
          <w:color w:val="auto"/>
          <w:sz w:val="24"/>
        </w:rPr>
        <w:t>项目编号：</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rPr>
        <w:tab/>
      </w:r>
    </w:p>
    <w:tbl>
      <w:tblPr>
        <w:tblStyle w:val="18"/>
        <w:tblW w:w="0" w:type="auto"/>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47"/>
        <w:gridCol w:w="1847"/>
        <w:gridCol w:w="1848"/>
        <w:gridCol w:w="1848"/>
        <w:gridCol w:w="1848"/>
      </w:tblGrid>
      <w:tr w14:paraId="3C2759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6" w:hRule="atLeast"/>
        </w:trPr>
        <w:tc>
          <w:tcPr>
            <w:tcW w:w="1847" w:type="dxa"/>
          </w:tcPr>
          <w:p w14:paraId="78ABAE08">
            <w:pPr>
              <w:pStyle w:val="25"/>
              <w:spacing w:before="80"/>
              <w:ind w:left="107"/>
              <w:rPr>
                <w:color w:val="auto"/>
                <w:sz w:val="24"/>
              </w:rPr>
            </w:pPr>
            <w:r>
              <w:rPr>
                <w:color w:val="auto"/>
                <w:sz w:val="24"/>
              </w:rPr>
              <w:t>采购包</w:t>
            </w:r>
          </w:p>
        </w:tc>
        <w:tc>
          <w:tcPr>
            <w:tcW w:w="1847" w:type="dxa"/>
          </w:tcPr>
          <w:p w14:paraId="215840EF">
            <w:pPr>
              <w:pStyle w:val="25"/>
              <w:spacing w:before="80"/>
              <w:ind w:left="108"/>
              <w:rPr>
                <w:color w:val="auto"/>
                <w:sz w:val="24"/>
              </w:rPr>
            </w:pPr>
            <w:r>
              <w:rPr>
                <w:color w:val="auto"/>
                <w:sz w:val="24"/>
              </w:rPr>
              <w:t>品目号</w:t>
            </w:r>
          </w:p>
        </w:tc>
        <w:tc>
          <w:tcPr>
            <w:tcW w:w="1848" w:type="dxa"/>
          </w:tcPr>
          <w:p w14:paraId="3229611F">
            <w:pPr>
              <w:pStyle w:val="25"/>
              <w:spacing w:before="80"/>
              <w:ind w:left="107"/>
              <w:rPr>
                <w:color w:val="auto"/>
                <w:sz w:val="24"/>
              </w:rPr>
            </w:pPr>
            <w:r>
              <w:rPr>
                <w:color w:val="auto"/>
                <w:sz w:val="24"/>
              </w:rPr>
              <w:t>商务条件</w:t>
            </w:r>
          </w:p>
        </w:tc>
        <w:tc>
          <w:tcPr>
            <w:tcW w:w="1848" w:type="dxa"/>
          </w:tcPr>
          <w:p w14:paraId="1C135399">
            <w:pPr>
              <w:pStyle w:val="25"/>
              <w:spacing w:before="80"/>
              <w:ind w:left="107"/>
              <w:rPr>
                <w:color w:val="auto"/>
                <w:sz w:val="24"/>
              </w:rPr>
            </w:pPr>
            <w:r>
              <w:rPr>
                <w:color w:val="auto"/>
                <w:sz w:val="24"/>
              </w:rPr>
              <w:t>投标响应</w:t>
            </w:r>
          </w:p>
        </w:tc>
        <w:tc>
          <w:tcPr>
            <w:tcW w:w="1848" w:type="dxa"/>
          </w:tcPr>
          <w:p w14:paraId="7E29EA10">
            <w:pPr>
              <w:pStyle w:val="25"/>
              <w:spacing w:before="80"/>
              <w:ind w:left="107"/>
              <w:rPr>
                <w:color w:val="auto"/>
                <w:sz w:val="24"/>
              </w:rPr>
            </w:pPr>
            <w:r>
              <w:rPr>
                <w:color w:val="auto"/>
                <w:sz w:val="24"/>
              </w:rPr>
              <w:t>是否偏离及说</w:t>
            </w:r>
          </w:p>
          <w:p w14:paraId="289C9145">
            <w:pPr>
              <w:pStyle w:val="25"/>
              <w:spacing w:before="160"/>
              <w:ind w:left="107"/>
              <w:rPr>
                <w:color w:val="auto"/>
                <w:sz w:val="24"/>
              </w:rPr>
            </w:pPr>
            <w:r>
              <w:rPr>
                <w:color w:val="auto"/>
                <w:sz w:val="24"/>
              </w:rPr>
              <w:t>明</w:t>
            </w:r>
          </w:p>
        </w:tc>
      </w:tr>
      <w:tr w14:paraId="717BB1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847" w:type="dxa"/>
            <w:vMerge w:val="restart"/>
          </w:tcPr>
          <w:p w14:paraId="72743922">
            <w:pPr>
              <w:pStyle w:val="25"/>
              <w:spacing w:before="89"/>
              <w:ind w:left="107"/>
              <w:rPr>
                <w:rFonts w:ascii="Calibri"/>
                <w:color w:val="auto"/>
                <w:sz w:val="24"/>
              </w:rPr>
            </w:pPr>
            <w:r>
              <w:rPr>
                <w:rFonts w:ascii="Calibri"/>
                <w:color w:val="auto"/>
                <w:sz w:val="24"/>
              </w:rPr>
              <w:t>*</w:t>
            </w:r>
          </w:p>
        </w:tc>
        <w:tc>
          <w:tcPr>
            <w:tcW w:w="1847" w:type="dxa"/>
          </w:tcPr>
          <w:p w14:paraId="16F684F6">
            <w:pPr>
              <w:pStyle w:val="25"/>
              <w:spacing w:before="89"/>
              <w:ind w:left="108"/>
              <w:rPr>
                <w:rFonts w:ascii="Calibri"/>
                <w:color w:val="auto"/>
                <w:sz w:val="24"/>
              </w:rPr>
            </w:pPr>
            <w:r>
              <w:rPr>
                <w:rFonts w:ascii="Calibri"/>
                <w:color w:val="auto"/>
                <w:sz w:val="24"/>
              </w:rPr>
              <w:t>*-1</w:t>
            </w:r>
          </w:p>
        </w:tc>
        <w:tc>
          <w:tcPr>
            <w:tcW w:w="1848" w:type="dxa"/>
          </w:tcPr>
          <w:p w14:paraId="2B43A81C">
            <w:pPr>
              <w:pStyle w:val="25"/>
              <w:rPr>
                <w:rFonts w:ascii="Times New Roman"/>
                <w:color w:val="auto"/>
                <w:sz w:val="22"/>
              </w:rPr>
            </w:pPr>
          </w:p>
        </w:tc>
        <w:tc>
          <w:tcPr>
            <w:tcW w:w="1848" w:type="dxa"/>
          </w:tcPr>
          <w:p w14:paraId="5BAE4706">
            <w:pPr>
              <w:pStyle w:val="25"/>
              <w:rPr>
                <w:rFonts w:ascii="Times New Roman"/>
                <w:color w:val="auto"/>
                <w:sz w:val="22"/>
              </w:rPr>
            </w:pPr>
          </w:p>
        </w:tc>
        <w:tc>
          <w:tcPr>
            <w:tcW w:w="1848" w:type="dxa"/>
          </w:tcPr>
          <w:p w14:paraId="69F8C622">
            <w:pPr>
              <w:pStyle w:val="25"/>
              <w:rPr>
                <w:rFonts w:ascii="Times New Roman"/>
                <w:color w:val="auto"/>
                <w:sz w:val="22"/>
              </w:rPr>
            </w:pPr>
          </w:p>
        </w:tc>
      </w:tr>
      <w:tr w14:paraId="6ABB0D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847" w:type="dxa"/>
            <w:vMerge w:val="continue"/>
            <w:tcBorders>
              <w:top w:val="nil"/>
            </w:tcBorders>
          </w:tcPr>
          <w:p w14:paraId="1FBC488D">
            <w:pPr>
              <w:rPr>
                <w:color w:val="auto"/>
                <w:sz w:val="2"/>
                <w:szCs w:val="2"/>
              </w:rPr>
            </w:pPr>
          </w:p>
        </w:tc>
        <w:tc>
          <w:tcPr>
            <w:tcW w:w="1847" w:type="dxa"/>
          </w:tcPr>
          <w:p w14:paraId="0E7BDE16">
            <w:pPr>
              <w:pStyle w:val="25"/>
              <w:spacing w:before="82"/>
              <w:ind w:left="108"/>
              <w:rPr>
                <w:color w:val="auto"/>
                <w:sz w:val="24"/>
              </w:rPr>
            </w:pPr>
            <w:r>
              <w:rPr>
                <w:color w:val="auto"/>
                <w:sz w:val="24"/>
              </w:rPr>
              <w:t>…</w:t>
            </w:r>
          </w:p>
        </w:tc>
        <w:tc>
          <w:tcPr>
            <w:tcW w:w="1848" w:type="dxa"/>
          </w:tcPr>
          <w:p w14:paraId="1CB3B6E9">
            <w:pPr>
              <w:pStyle w:val="25"/>
              <w:rPr>
                <w:rFonts w:ascii="Times New Roman"/>
                <w:color w:val="auto"/>
                <w:sz w:val="22"/>
              </w:rPr>
            </w:pPr>
          </w:p>
        </w:tc>
        <w:tc>
          <w:tcPr>
            <w:tcW w:w="1848" w:type="dxa"/>
          </w:tcPr>
          <w:p w14:paraId="4D32EB19">
            <w:pPr>
              <w:pStyle w:val="25"/>
              <w:rPr>
                <w:rFonts w:ascii="Times New Roman"/>
                <w:color w:val="auto"/>
                <w:sz w:val="22"/>
              </w:rPr>
            </w:pPr>
          </w:p>
        </w:tc>
        <w:tc>
          <w:tcPr>
            <w:tcW w:w="1848" w:type="dxa"/>
          </w:tcPr>
          <w:p w14:paraId="4CE5022F">
            <w:pPr>
              <w:pStyle w:val="25"/>
              <w:rPr>
                <w:rFonts w:ascii="Times New Roman"/>
                <w:color w:val="auto"/>
                <w:sz w:val="22"/>
              </w:rPr>
            </w:pPr>
          </w:p>
        </w:tc>
      </w:tr>
      <w:tr w14:paraId="126860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1847" w:type="dxa"/>
          </w:tcPr>
          <w:p w14:paraId="2152BB5D">
            <w:pPr>
              <w:pStyle w:val="25"/>
              <w:spacing w:before="82"/>
              <w:ind w:left="107"/>
              <w:rPr>
                <w:color w:val="auto"/>
                <w:sz w:val="24"/>
              </w:rPr>
            </w:pPr>
            <w:r>
              <w:rPr>
                <w:color w:val="auto"/>
                <w:sz w:val="24"/>
              </w:rPr>
              <w:t>…</w:t>
            </w:r>
          </w:p>
        </w:tc>
        <w:tc>
          <w:tcPr>
            <w:tcW w:w="1847" w:type="dxa"/>
          </w:tcPr>
          <w:p w14:paraId="5879F953">
            <w:pPr>
              <w:pStyle w:val="25"/>
              <w:rPr>
                <w:rFonts w:ascii="Times New Roman"/>
                <w:color w:val="auto"/>
                <w:sz w:val="22"/>
              </w:rPr>
            </w:pPr>
          </w:p>
        </w:tc>
        <w:tc>
          <w:tcPr>
            <w:tcW w:w="1848" w:type="dxa"/>
          </w:tcPr>
          <w:p w14:paraId="614C4A2B">
            <w:pPr>
              <w:pStyle w:val="25"/>
              <w:rPr>
                <w:rFonts w:ascii="Times New Roman"/>
                <w:color w:val="auto"/>
                <w:sz w:val="22"/>
              </w:rPr>
            </w:pPr>
          </w:p>
        </w:tc>
        <w:tc>
          <w:tcPr>
            <w:tcW w:w="1848" w:type="dxa"/>
          </w:tcPr>
          <w:p w14:paraId="2BD7E5BC">
            <w:pPr>
              <w:pStyle w:val="25"/>
              <w:rPr>
                <w:rFonts w:ascii="Times New Roman"/>
                <w:color w:val="auto"/>
                <w:sz w:val="22"/>
              </w:rPr>
            </w:pPr>
          </w:p>
        </w:tc>
        <w:tc>
          <w:tcPr>
            <w:tcW w:w="1848" w:type="dxa"/>
          </w:tcPr>
          <w:p w14:paraId="222C33B1">
            <w:pPr>
              <w:pStyle w:val="25"/>
              <w:rPr>
                <w:rFonts w:ascii="Times New Roman"/>
                <w:color w:val="auto"/>
                <w:sz w:val="22"/>
              </w:rPr>
            </w:pPr>
          </w:p>
        </w:tc>
      </w:tr>
    </w:tbl>
    <w:p w14:paraId="7150EBB6">
      <w:pPr>
        <w:pStyle w:val="6"/>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※注意：</w:t>
      </w:r>
    </w:p>
    <w:p w14:paraId="48136550">
      <w:pPr>
        <w:pStyle w:val="6"/>
        <w:spacing w:before="161"/>
        <w:ind w:left="70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1、本表应按照下列规定填写：</w:t>
      </w:r>
    </w:p>
    <w:p w14:paraId="3C7892BD">
      <w:pPr>
        <w:pStyle w:val="24"/>
        <w:numPr>
          <w:ilvl w:val="1"/>
          <w:numId w:val="84"/>
        </w:numPr>
        <w:tabs>
          <w:tab w:val="left" w:pos="1006"/>
        </w:tabs>
        <w:spacing w:before="160" w:after="0" w:line="364" w:lineRule="auto"/>
        <w:ind w:left="220" w:right="580"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“商务条件”项下填写的内容应与招标文件第五章“商务条件”的内容保持一致。</w:t>
      </w:r>
    </w:p>
    <w:p w14:paraId="757A9997">
      <w:pPr>
        <w:pStyle w:val="24"/>
        <w:numPr>
          <w:ilvl w:val="1"/>
          <w:numId w:val="84"/>
        </w:numPr>
        <w:tabs>
          <w:tab w:val="left" w:pos="1006"/>
        </w:tabs>
        <w:spacing w:before="1" w:after="0" w:line="364" w:lineRule="auto"/>
        <w:ind w:left="220" w:right="45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“投标响应”项下应填写具体的响应内容并与“商务条件”项下填写的内容逐</w:t>
      </w:r>
      <w:r>
        <w:rPr>
          <w:rFonts w:hint="eastAsia" w:asciiTheme="minorEastAsia" w:hAnsiTheme="minorEastAsia" w:eastAsiaTheme="minorEastAsia" w:cstheme="minorEastAsia"/>
          <w:color w:val="auto"/>
          <w:spacing w:val="-14"/>
          <w:sz w:val="24"/>
        </w:rPr>
        <w:t xml:space="preserve">项对应；对“商务条件”项下涉及“≥或＞”、“≤或＜”及某个区间值范围内的内容， </w:t>
      </w:r>
      <w:r>
        <w:rPr>
          <w:rFonts w:hint="eastAsia" w:asciiTheme="minorEastAsia" w:hAnsiTheme="minorEastAsia" w:eastAsiaTheme="minorEastAsia" w:cstheme="minorEastAsia"/>
          <w:color w:val="auto"/>
          <w:sz w:val="24"/>
        </w:rPr>
        <w:t>应填写具体的数值。</w:t>
      </w:r>
    </w:p>
    <w:p w14:paraId="683AD880">
      <w:pPr>
        <w:pStyle w:val="24"/>
        <w:numPr>
          <w:ilvl w:val="1"/>
          <w:numId w:val="84"/>
        </w:numPr>
        <w:tabs>
          <w:tab w:val="left" w:pos="1006"/>
        </w:tabs>
        <w:spacing w:before="2" w:after="0" w:line="364" w:lineRule="auto"/>
        <w:ind w:left="220" w:right="577" w:firstLine="480"/>
        <w:jc w:val="left"/>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“是否偏离及说明”项下应按下列规定填写：优于的，填写“正偏离”；符合的，填写“无偏离”；低于的，填写“负偏离”。</w:t>
      </w:r>
    </w:p>
    <w:p w14:paraId="47F04B69">
      <w:pPr>
        <w:pStyle w:val="6"/>
        <w:spacing w:before="1" w:line="364" w:lineRule="auto"/>
        <w:ind w:right="577" w:firstLine="480"/>
        <w:jc w:val="both"/>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w:t>
      </w:r>
      <w:r>
        <w:rPr>
          <w:rFonts w:hint="eastAsia" w:asciiTheme="minorEastAsia" w:hAnsiTheme="minorEastAsia" w:eastAsiaTheme="minorEastAsia" w:cstheme="minorEastAsia"/>
          <w:color w:val="auto"/>
          <w:spacing w:val="-1"/>
        </w:rPr>
        <w:t>、投标人需要说明的内容若需特殊表达，应先在本表中进行相应说明，再另页应</w:t>
      </w:r>
      <w:r>
        <w:rPr>
          <w:rFonts w:hint="eastAsia" w:asciiTheme="minorEastAsia" w:hAnsiTheme="minorEastAsia" w:eastAsiaTheme="minorEastAsia" w:cstheme="minorEastAsia"/>
          <w:color w:val="auto"/>
          <w:spacing w:val="-12"/>
        </w:rPr>
        <w:t>答，但应做好标注说明，方便评委查阅评审。未标注说明可能导致的不利的评审后果由</w:t>
      </w:r>
      <w:r>
        <w:rPr>
          <w:rFonts w:hint="eastAsia" w:asciiTheme="minorEastAsia" w:hAnsiTheme="minorEastAsia" w:eastAsiaTheme="minorEastAsia" w:cstheme="minorEastAsia"/>
          <w:color w:val="auto"/>
        </w:rPr>
        <w:t>投标人自行承担。</w:t>
      </w:r>
    </w:p>
    <w:p w14:paraId="1FE5FDBA">
      <w:pPr>
        <w:pStyle w:val="6"/>
        <w:tabs>
          <w:tab w:val="left" w:pos="7566"/>
          <w:tab w:val="left" w:pos="8286"/>
          <w:tab w:val="left" w:pos="9006"/>
        </w:tabs>
        <w:spacing w:before="2" w:line="364" w:lineRule="auto"/>
        <w:ind w:left="6366" w:right="577" w:hanging="72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投标人：</w:t>
      </w:r>
      <w:r>
        <w:rPr>
          <w:rFonts w:hint="eastAsia" w:asciiTheme="minorEastAsia" w:hAnsiTheme="minorEastAsia" w:eastAsiaTheme="minorEastAsia" w:cstheme="minorEastAsia"/>
          <w:color w:val="auto"/>
          <w:u w:val="single"/>
        </w:rPr>
        <w:t>（全称并加盖单位公章</w:t>
      </w:r>
      <w:r>
        <w:rPr>
          <w:rFonts w:hint="eastAsia" w:asciiTheme="minorEastAsia" w:hAnsiTheme="minorEastAsia" w:eastAsiaTheme="minorEastAsia" w:cstheme="minorEastAsia"/>
          <w:color w:val="auto"/>
          <w:spacing w:val="-17"/>
          <w:u w:val="single"/>
        </w:rPr>
        <w:t xml:space="preserve">） </w:t>
      </w:r>
      <w:r>
        <w:rPr>
          <w:rFonts w:hint="eastAsia" w:asciiTheme="minorEastAsia" w:hAnsiTheme="minorEastAsia" w:eastAsiaTheme="minorEastAsia" w:cstheme="minorEastAsia"/>
          <w:color w:val="auto"/>
        </w:rPr>
        <w:t>日期：</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年</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u w:val="single"/>
        </w:rPr>
        <w:t>月</w:t>
      </w:r>
      <w:r>
        <w:rPr>
          <w:rFonts w:hint="eastAsia" w:asciiTheme="minorEastAsia" w:hAnsiTheme="minorEastAsia" w:eastAsiaTheme="minorEastAsia" w:cstheme="minorEastAsia"/>
          <w:color w:val="auto"/>
          <w:u w:val="single"/>
        </w:rPr>
        <w:tab/>
      </w:r>
      <w:r>
        <w:rPr>
          <w:rFonts w:hint="eastAsia" w:asciiTheme="minorEastAsia" w:hAnsiTheme="minorEastAsia" w:eastAsiaTheme="minorEastAsia" w:cstheme="minorEastAsia"/>
          <w:color w:val="auto"/>
          <w:spacing w:val="-17"/>
          <w:u w:val="single"/>
        </w:rPr>
        <w:t>日</w:t>
      </w:r>
    </w:p>
    <w:p w14:paraId="0DD0B334">
      <w:pPr>
        <w:spacing w:after="0" w:line="364" w:lineRule="auto"/>
        <w:rPr>
          <w:rFonts w:hint="eastAsia" w:asciiTheme="minorEastAsia" w:hAnsiTheme="minorEastAsia" w:eastAsiaTheme="minorEastAsia" w:cstheme="minorEastAsia"/>
          <w:color w:val="auto"/>
        </w:rPr>
        <w:sectPr>
          <w:pgSz w:w="11910" w:h="16840"/>
          <w:pgMar w:top="1460" w:right="860" w:bottom="1160" w:left="1220" w:header="0" w:footer="970" w:gutter="0"/>
          <w:pgNumType w:fmt="decimal"/>
          <w:cols w:space="720" w:num="1"/>
        </w:sectPr>
      </w:pPr>
    </w:p>
    <w:p w14:paraId="5A147C77">
      <w:pPr>
        <w:pStyle w:val="4"/>
        <w:spacing w:before="42"/>
        <w:ind w:left="3284"/>
        <w:rPr>
          <w:rFonts w:hint="eastAsia" w:asciiTheme="minorEastAsia" w:hAnsiTheme="minorEastAsia" w:eastAsiaTheme="minorEastAsia" w:cstheme="minorEastAsia"/>
          <w:color w:val="auto"/>
        </w:rPr>
      </w:pPr>
      <w:bookmarkStart w:id="118" w:name="四、投标人提交的其他资料（若有）"/>
      <w:bookmarkEnd w:id="118"/>
      <w:r>
        <w:rPr>
          <w:rFonts w:hint="eastAsia" w:asciiTheme="minorEastAsia" w:hAnsiTheme="minorEastAsia" w:eastAsiaTheme="minorEastAsia" w:cstheme="minorEastAsia"/>
          <w:color w:val="auto"/>
        </w:rPr>
        <w:t>四、投标人提交的其他资料（若有）</w:t>
      </w:r>
    </w:p>
    <w:p w14:paraId="07453130">
      <w:pPr>
        <w:pStyle w:val="6"/>
        <w:spacing w:before="160"/>
        <w:ind w:left="4492"/>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编制说明</w:t>
      </w:r>
    </w:p>
    <w:p w14:paraId="75F434FF">
      <w:pPr>
        <w:pStyle w:val="6"/>
        <w:spacing w:before="161" w:line="364" w:lineRule="auto"/>
        <w:ind w:right="580"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1、招标文件要求提交的除“资格及资信证明部分”、“报价部分”外的其他证明材料或资料加盖投标人的单位公章后应在此项下提交。</w:t>
      </w:r>
    </w:p>
    <w:p w14:paraId="520A6CC5">
      <w:pPr>
        <w:pStyle w:val="6"/>
        <w:spacing w:before="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2、招标文件要求投标人提供方案（</w:t>
      </w:r>
      <w:r>
        <w:rPr>
          <w:rFonts w:hint="eastAsia" w:asciiTheme="minorEastAsia" w:hAnsiTheme="minorEastAsia" w:eastAsiaTheme="minorEastAsia" w:cstheme="minorEastAsia"/>
          <w:color w:val="auto"/>
          <w:spacing w:val="-1"/>
        </w:rPr>
        <w:t>包括但不限于：组织、实施、技术、服务方案</w:t>
      </w:r>
      <w:r>
        <w:rPr>
          <w:rFonts w:hint="eastAsia" w:asciiTheme="minorEastAsia" w:hAnsiTheme="minorEastAsia" w:eastAsiaTheme="minorEastAsia" w:cstheme="minorEastAsia"/>
          <w:color w:val="auto"/>
        </w:rPr>
        <w:t>等）的，投标人应在此项下提交。</w:t>
      </w:r>
    </w:p>
    <w:p w14:paraId="5F712D5F">
      <w:pPr>
        <w:pStyle w:val="6"/>
        <w:spacing w:before="1" w:line="364" w:lineRule="auto"/>
        <w:ind w:right="577" w:firstLine="480"/>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3</w:t>
      </w:r>
      <w:r>
        <w:rPr>
          <w:rFonts w:hint="eastAsia" w:asciiTheme="minorEastAsia" w:hAnsiTheme="minorEastAsia" w:eastAsiaTheme="minorEastAsia" w:cstheme="minorEastAsia"/>
          <w:color w:val="auto"/>
          <w:spacing w:val="-1"/>
        </w:rPr>
        <w:t>、除招标文件另有规定外，投标人认为需要提交的其他证明材料或资料加盖投标</w:t>
      </w:r>
      <w:r>
        <w:rPr>
          <w:rFonts w:hint="eastAsia" w:asciiTheme="minorEastAsia" w:hAnsiTheme="minorEastAsia" w:eastAsiaTheme="minorEastAsia" w:cstheme="minorEastAsia"/>
          <w:color w:val="auto"/>
        </w:rPr>
        <w:t>人的单位公章后应在此项下提交。</w:t>
      </w:r>
    </w:p>
    <w:sectPr>
      <w:footerReference r:id="rId14" w:type="default"/>
      <w:pgSz w:w="11910" w:h="16840"/>
      <w:pgMar w:top="1460" w:right="860" w:bottom="1160" w:left="1220" w:header="0" w:footer="97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23BBA8">
    <w:pPr>
      <w:pStyle w:val="6"/>
      <w:spacing w:line="14" w:lineRule="auto"/>
      <w:ind w:left="0"/>
      <w:rPr>
        <w:sz w:val="1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4A1B4F">
    <w:pPr>
      <w:pStyle w:val="6"/>
      <w:spacing w:line="14" w:lineRule="auto"/>
      <w:ind w:left="0"/>
      <w:rPr>
        <w:sz w:val="12"/>
      </w:rPr>
    </w:pPr>
    <w:r>
      <w:rPr>
        <w:sz w:val="1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2AC45B">
                          <w:pPr>
                            <w:pStyle w:val="1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92AC45B">
                    <w:pPr>
                      <w:pStyle w:val="1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BD96D1">
    <w:pPr>
      <w:pStyle w:val="6"/>
      <w:spacing w:line="14" w:lineRule="auto"/>
      <w:ind w:left="0"/>
      <w:rPr>
        <w:sz w:val="12"/>
      </w:rPr>
    </w:pPr>
    <w:r>
      <w:rPr>
        <w:sz w:val="1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BFB9D0">
                          <w:pPr>
                            <w:pStyle w:val="12"/>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CBFB9D0">
                    <w:pPr>
                      <w:pStyle w:val="12"/>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C4A97E">
    <w:pPr>
      <w:pStyle w:val="6"/>
      <w:spacing w:line="14" w:lineRule="auto"/>
      <w:ind w:left="0"/>
      <w:rPr>
        <w:sz w:val="12"/>
      </w:rPr>
    </w:pPr>
    <w:r>
      <w:rPr>
        <w:sz w:val="12"/>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4139A4">
                          <w:pPr>
                            <w:pStyle w:val="12"/>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34139A4">
                    <w:pPr>
                      <w:pStyle w:val="12"/>
                    </w:pPr>
                    <w:r>
                      <w:fldChar w:fldCharType="begin"/>
                    </w:r>
                    <w:r>
                      <w:instrText xml:space="preserve"> PAGE  \* MERGEFORMAT </w:instrText>
                    </w:r>
                    <w:r>
                      <w:fldChar w:fldCharType="separate"/>
                    </w:r>
                    <w:r>
                      <w:t>50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7D00CC">
    <w:pPr>
      <w:pStyle w:val="6"/>
      <w:spacing w:line="14" w:lineRule="auto"/>
      <w:ind w:left="0"/>
      <w:rPr>
        <w:sz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0AA32D">
                          <w:pPr>
                            <w:pStyle w:val="12"/>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B0AA32D">
                    <w:pPr>
                      <w:pStyle w:val="12"/>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0A996">
    <w:pPr>
      <w:pStyle w:val="6"/>
      <w:spacing w:line="14" w:lineRule="auto"/>
      <w:ind w:left="0"/>
      <w:rPr>
        <w:sz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C849B0">
                          <w:pPr>
                            <w:pStyle w:val="12"/>
                          </w:pPr>
                          <w:r>
                            <w:fldChar w:fldCharType="begin"/>
                          </w:r>
                          <w:r>
                            <w:instrText xml:space="preserve"> PAGE  \* MERGEFORMAT </w:instrText>
                          </w:r>
                          <w:r>
                            <w:fldChar w:fldCharType="separate"/>
                          </w:r>
                          <w:r>
                            <w:t>71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0C849B0">
                    <w:pPr>
                      <w:pStyle w:val="12"/>
                    </w:pPr>
                    <w:r>
                      <w:fldChar w:fldCharType="begin"/>
                    </w:r>
                    <w:r>
                      <w:instrText xml:space="preserve"> PAGE  \* MERGEFORMAT </w:instrText>
                    </w:r>
                    <w:r>
                      <w:fldChar w:fldCharType="separate"/>
                    </w:r>
                    <w:r>
                      <w:t>71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0B5077">
    <w:pPr>
      <w:pStyle w:val="6"/>
      <w:spacing w:line="14" w:lineRule="auto"/>
      <w:ind w:left="0"/>
      <w:rPr>
        <w:sz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BE5224">
                          <w:pPr>
                            <w:pStyle w:val="12"/>
                          </w:pPr>
                          <w:r>
                            <w:fldChar w:fldCharType="begin"/>
                          </w:r>
                          <w:r>
                            <w:instrText xml:space="preserve"> PAGE  \* MERGEFORMAT </w:instrText>
                          </w:r>
                          <w:r>
                            <w:fldChar w:fldCharType="separate"/>
                          </w:r>
                          <w:r>
                            <w:t>100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6EBE5224">
                    <w:pPr>
                      <w:pStyle w:val="12"/>
                    </w:pPr>
                    <w:r>
                      <w:fldChar w:fldCharType="begin"/>
                    </w:r>
                    <w:r>
                      <w:instrText xml:space="preserve"> PAGE  \* MERGEFORMAT </w:instrText>
                    </w:r>
                    <w:r>
                      <w:fldChar w:fldCharType="separate"/>
                    </w:r>
                    <w:r>
                      <w:t>100</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820A67">
    <w:pPr>
      <w:pStyle w:val="6"/>
      <w:spacing w:line="14" w:lineRule="auto"/>
      <w:ind w:left="0"/>
      <w:rPr>
        <w:sz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817895">
                          <w:pPr>
                            <w:pStyle w:val="12"/>
                          </w:pPr>
                          <w:r>
                            <w:fldChar w:fldCharType="begin"/>
                          </w:r>
                          <w:r>
                            <w:instrText xml:space="preserve"> PAGE  \* MERGEFORMAT </w:instrText>
                          </w:r>
                          <w:r>
                            <w:fldChar w:fldCharType="separate"/>
                          </w:r>
                          <w:r>
                            <w:t>110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0A817895">
                    <w:pPr>
                      <w:pStyle w:val="12"/>
                    </w:pPr>
                    <w:r>
                      <w:fldChar w:fldCharType="begin"/>
                    </w:r>
                    <w:r>
                      <w:instrText xml:space="preserve"> PAGE  \* MERGEFORMAT </w:instrText>
                    </w:r>
                    <w:r>
                      <w:fldChar w:fldCharType="separate"/>
                    </w:r>
                    <w:r>
                      <w:t>110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DA0341">
    <w:pPr>
      <w:pStyle w:val="6"/>
      <w:spacing w:line="14" w:lineRule="auto"/>
      <w:ind w:left="0"/>
      <w:rPr>
        <w:sz w:val="20"/>
      </w:rPr>
    </w:pPr>
    <w:r>
      <w:rPr>
        <w:sz w:val="20"/>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D0F582">
                          <w:pPr>
                            <w:pStyle w:val="12"/>
                          </w:pPr>
                          <w:r>
                            <w:fldChar w:fldCharType="begin"/>
                          </w:r>
                          <w:r>
                            <w:instrText xml:space="preserve"> PAGE  \* MERGEFORMAT </w:instrText>
                          </w:r>
                          <w:r>
                            <w:fldChar w:fldCharType="separate"/>
                          </w:r>
                          <w:r>
                            <w:t>120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ED0F582">
                    <w:pPr>
                      <w:pStyle w:val="12"/>
                    </w:pPr>
                    <w:r>
                      <w:fldChar w:fldCharType="begin"/>
                    </w:r>
                    <w:r>
                      <w:instrText xml:space="preserve"> PAGE  \* MERGEFORMAT </w:instrText>
                    </w:r>
                    <w:r>
                      <w:fldChar w:fldCharType="separate"/>
                    </w:r>
                    <w:r>
                      <w:t>120</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600E5">
    <w:pPr>
      <w:pStyle w:val="6"/>
      <w:spacing w:line="14" w:lineRule="auto"/>
      <w:ind w:left="0"/>
      <w:rPr>
        <w:sz w:val="20"/>
      </w:rP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58AFAA">
                          <w:pPr>
                            <w:pStyle w:val="12"/>
                          </w:pPr>
                          <w:r>
                            <w:fldChar w:fldCharType="begin"/>
                          </w:r>
                          <w:r>
                            <w:instrText xml:space="preserve"> PAGE  \* MERGEFORMAT </w:instrText>
                          </w:r>
                          <w:r>
                            <w:fldChar w:fldCharType="separate"/>
                          </w:r>
                          <w:r>
                            <w:t>130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0058AFAA">
                    <w:pPr>
                      <w:pStyle w:val="12"/>
                    </w:pPr>
                    <w:r>
                      <w:fldChar w:fldCharType="begin"/>
                    </w:r>
                    <w:r>
                      <w:instrText xml:space="preserve"> PAGE  \* MERGEFORMAT </w:instrText>
                    </w:r>
                    <w:r>
                      <w:fldChar w:fldCharType="separate"/>
                    </w:r>
                    <w:r>
                      <w:t>130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11"/>
      <w:numFmt w:val="decimal"/>
      <w:lvlText w:val="%1"/>
      <w:lvlJc w:val="left"/>
      <w:pPr>
        <w:ind w:left="220" w:hanging="490"/>
        <w:jc w:val="left"/>
      </w:pPr>
      <w:rPr>
        <w:rFonts w:hint="default"/>
      </w:rPr>
    </w:lvl>
    <w:lvl w:ilvl="1" w:tentative="0">
      <w:start w:val="1"/>
      <w:numFmt w:val="decimal"/>
      <w:lvlText w:val="%1.%2"/>
      <w:lvlJc w:val="left"/>
      <w:pPr>
        <w:ind w:left="220" w:hanging="490"/>
        <w:jc w:val="left"/>
      </w:pPr>
      <w:rPr>
        <w:rFonts w:hint="default" w:ascii="Calibri" w:hAnsi="Calibri" w:eastAsia="Calibri" w:cs="Calibri"/>
        <w:spacing w:val="-1"/>
        <w:w w:val="100"/>
        <w:sz w:val="24"/>
        <w:szCs w:val="24"/>
      </w:rPr>
    </w:lvl>
    <w:lvl w:ilvl="2" w:tentative="0">
      <w:start w:val="0"/>
      <w:numFmt w:val="bullet"/>
      <w:lvlText w:val="•"/>
      <w:lvlJc w:val="left"/>
      <w:pPr>
        <w:ind w:left="2141" w:hanging="490"/>
      </w:pPr>
      <w:rPr>
        <w:rFonts w:hint="default"/>
      </w:rPr>
    </w:lvl>
    <w:lvl w:ilvl="3" w:tentative="0">
      <w:start w:val="0"/>
      <w:numFmt w:val="bullet"/>
      <w:lvlText w:val="•"/>
      <w:lvlJc w:val="left"/>
      <w:pPr>
        <w:ind w:left="3101" w:hanging="490"/>
      </w:pPr>
      <w:rPr>
        <w:rFonts w:hint="default"/>
      </w:rPr>
    </w:lvl>
    <w:lvl w:ilvl="4" w:tentative="0">
      <w:start w:val="0"/>
      <w:numFmt w:val="bullet"/>
      <w:lvlText w:val="•"/>
      <w:lvlJc w:val="left"/>
      <w:pPr>
        <w:ind w:left="4062" w:hanging="490"/>
      </w:pPr>
      <w:rPr>
        <w:rFonts w:hint="default"/>
      </w:rPr>
    </w:lvl>
    <w:lvl w:ilvl="5" w:tentative="0">
      <w:start w:val="0"/>
      <w:numFmt w:val="bullet"/>
      <w:lvlText w:val="•"/>
      <w:lvlJc w:val="left"/>
      <w:pPr>
        <w:ind w:left="5023" w:hanging="490"/>
      </w:pPr>
      <w:rPr>
        <w:rFonts w:hint="default"/>
      </w:rPr>
    </w:lvl>
    <w:lvl w:ilvl="6" w:tentative="0">
      <w:start w:val="0"/>
      <w:numFmt w:val="bullet"/>
      <w:lvlText w:val="•"/>
      <w:lvlJc w:val="left"/>
      <w:pPr>
        <w:ind w:left="5983" w:hanging="490"/>
      </w:pPr>
      <w:rPr>
        <w:rFonts w:hint="default"/>
      </w:rPr>
    </w:lvl>
    <w:lvl w:ilvl="7" w:tentative="0">
      <w:start w:val="0"/>
      <w:numFmt w:val="bullet"/>
      <w:lvlText w:val="•"/>
      <w:lvlJc w:val="left"/>
      <w:pPr>
        <w:ind w:left="6944" w:hanging="490"/>
      </w:pPr>
      <w:rPr>
        <w:rFonts w:hint="default"/>
      </w:rPr>
    </w:lvl>
    <w:lvl w:ilvl="8" w:tentative="0">
      <w:start w:val="0"/>
      <w:numFmt w:val="bullet"/>
      <w:lvlText w:val="•"/>
      <w:lvlJc w:val="left"/>
      <w:pPr>
        <w:ind w:left="7904" w:hanging="490"/>
      </w:pPr>
      <w:rPr>
        <w:rFonts w:hint="default"/>
      </w:rPr>
    </w:lvl>
  </w:abstractNum>
  <w:abstractNum w:abstractNumId="1">
    <w:nsid w:val="845B5372"/>
    <w:multiLevelType w:val="multilevel"/>
    <w:tmpl w:val="845B5372"/>
    <w:lvl w:ilvl="0" w:tentative="0">
      <w:start w:val="17"/>
      <w:numFmt w:val="decimal"/>
      <w:lvlText w:val="%1"/>
      <w:lvlJc w:val="left"/>
      <w:pPr>
        <w:ind w:left="1184" w:hanging="485"/>
        <w:jc w:val="left"/>
      </w:pPr>
      <w:rPr>
        <w:rFonts w:hint="default"/>
      </w:rPr>
    </w:lvl>
    <w:lvl w:ilvl="1" w:tentative="0">
      <w:start w:val="1"/>
      <w:numFmt w:val="decimal"/>
      <w:lvlText w:val="%1.%2"/>
      <w:lvlJc w:val="left"/>
      <w:pPr>
        <w:ind w:left="1184" w:hanging="485"/>
        <w:jc w:val="left"/>
      </w:pPr>
      <w:rPr>
        <w:rFonts w:hint="default" w:ascii="Calibri" w:hAnsi="Calibri" w:eastAsia="Calibri" w:cs="Calibri"/>
        <w:spacing w:val="-1"/>
        <w:w w:val="100"/>
        <w:sz w:val="24"/>
        <w:szCs w:val="24"/>
      </w:rPr>
    </w:lvl>
    <w:lvl w:ilvl="2" w:tentative="0">
      <w:start w:val="0"/>
      <w:numFmt w:val="bullet"/>
      <w:lvlText w:val="•"/>
      <w:lvlJc w:val="left"/>
      <w:pPr>
        <w:ind w:left="2909" w:hanging="485"/>
      </w:pPr>
      <w:rPr>
        <w:rFonts w:hint="default"/>
      </w:rPr>
    </w:lvl>
    <w:lvl w:ilvl="3" w:tentative="0">
      <w:start w:val="0"/>
      <w:numFmt w:val="bullet"/>
      <w:lvlText w:val="•"/>
      <w:lvlJc w:val="left"/>
      <w:pPr>
        <w:ind w:left="3773" w:hanging="485"/>
      </w:pPr>
      <w:rPr>
        <w:rFonts w:hint="default"/>
      </w:rPr>
    </w:lvl>
    <w:lvl w:ilvl="4" w:tentative="0">
      <w:start w:val="0"/>
      <w:numFmt w:val="bullet"/>
      <w:lvlText w:val="•"/>
      <w:lvlJc w:val="left"/>
      <w:pPr>
        <w:ind w:left="4638" w:hanging="485"/>
      </w:pPr>
      <w:rPr>
        <w:rFonts w:hint="default"/>
      </w:rPr>
    </w:lvl>
    <w:lvl w:ilvl="5" w:tentative="0">
      <w:start w:val="0"/>
      <w:numFmt w:val="bullet"/>
      <w:lvlText w:val="•"/>
      <w:lvlJc w:val="left"/>
      <w:pPr>
        <w:ind w:left="5503" w:hanging="485"/>
      </w:pPr>
      <w:rPr>
        <w:rFonts w:hint="default"/>
      </w:rPr>
    </w:lvl>
    <w:lvl w:ilvl="6" w:tentative="0">
      <w:start w:val="0"/>
      <w:numFmt w:val="bullet"/>
      <w:lvlText w:val="•"/>
      <w:lvlJc w:val="left"/>
      <w:pPr>
        <w:ind w:left="6367" w:hanging="485"/>
      </w:pPr>
      <w:rPr>
        <w:rFonts w:hint="default"/>
      </w:rPr>
    </w:lvl>
    <w:lvl w:ilvl="7" w:tentative="0">
      <w:start w:val="0"/>
      <w:numFmt w:val="bullet"/>
      <w:lvlText w:val="•"/>
      <w:lvlJc w:val="left"/>
      <w:pPr>
        <w:ind w:left="7232" w:hanging="485"/>
      </w:pPr>
      <w:rPr>
        <w:rFonts w:hint="default"/>
      </w:rPr>
    </w:lvl>
    <w:lvl w:ilvl="8" w:tentative="0">
      <w:start w:val="0"/>
      <w:numFmt w:val="bullet"/>
      <w:lvlText w:val="•"/>
      <w:lvlJc w:val="left"/>
      <w:pPr>
        <w:ind w:left="8096" w:hanging="485"/>
      </w:pPr>
      <w:rPr>
        <w:rFonts w:hint="default"/>
      </w:rPr>
    </w:lvl>
  </w:abstractNum>
  <w:abstractNum w:abstractNumId="2">
    <w:nsid w:val="8461FADE"/>
    <w:multiLevelType w:val="multilevel"/>
    <w:tmpl w:val="8461FADE"/>
    <w:lvl w:ilvl="0" w:tentative="0">
      <w:start w:val="1"/>
      <w:numFmt w:val="lowerLetter"/>
      <w:lvlText w:val="%1."/>
      <w:lvlJc w:val="left"/>
      <w:pPr>
        <w:ind w:left="220" w:hanging="177"/>
        <w:jc w:val="left"/>
      </w:pPr>
      <w:rPr>
        <w:rFonts w:hint="default" w:ascii="Calibri" w:hAnsi="Calibri" w:eastAsia="Calibri" w:cs="Calibri"/>
        <w:spacing w:val="-1"/>
        <w:w w:val="100"/>
        <w:sz w:val="22"/>
        <w:szCs w:val="22"/>
      </w:rPr>
    </w:lvl>
    <w:lvl w:ilvl="1" w:tentative="0">
      <w:start w:val="0"/>
      <w:numFmt w:val="bullet"/>
      <w:lvlText w:val="•"/>
      <w:lvlJc w:val="left"/>
      <w:pPr>
        <w:ind w:left="1180" w:hanging="177"/>
      </w:pPr>
      <w:rPr>
        <w:rFonts w:hint="default"/>
      </w:rPr>
    </w:lvl>
    <w:lvl w:ilvl="2" w:tentative="0">
      <w:start w:val="0"/>
      <w:numFmt w:val="bullet"/>
      <w:lvlText w:val="•"/>
      <w:lvlJc w:val="left"/>
      <w:pPr>
        <w:ind w:left="2141" w:hanging="177"/>
      </w:pPr>
      <w:rPr>
        <w:rFonts w:hint="default"/>
      </w:rPr>
    </w:lvl>
    <w:lvl w:ilvl="3" w:tentative="0">
      <w:start w:val="0"/>
      <w:numFmt w:val="bullet"/>
      <w:lvlText w:val="•"/>
      <w:lvlJc w:val="left"/>
      <w:pPr>
        <w:ind w:left="3101" w:hanging="177"/>
      </w:pPr>
      <w:rPr>
        <w:rFonts w:hint="default"/>
      </w:rPr>
    </w:lvl>
    <w:lvl w:ilvl="4" w:tentative="0">
      <w:start w:val="0"/>
      <w:numFmt w:val="bullet"/>
      <w:lvlText w:val="•"/>
      <w:lvlJc w:val="left"/>
      <w:pPr>
        <w:ind w:left="4062" w:hanging="177"/>
      </w:pPr>
      <w:rPr>
        <w:rFonts w:hint="default"/>
      </w:rPr>
    </w:lvl>
    <w:lvl w:ilvl="5" w:tentative="0">
      <w:start w:val="0"/>
      <w:numFmt w:val="bullet"/>
      <w:lvlText w:val="•"/>
      <w:lvlJc w:val="left"/>
      <w:pPr>
        <w:ind w:left="5023" w:hanging="177"/>
      </w:pPr>
      <w:rPr>
        <w:rFonts w:hint="default"/>
      </w:rPr>
    </w:lvl>
    <w:lvl w:ilvl="6" w:tentative="0">
      <w:start w:val="0"/>
      <w:numFmt w:val="bullet"/>
      <w:lvlText w:val="•"/>
      <w:lvlJc w:val="left"/>
      <w:pPr>
        <w:ind w:left="5983" w:hanging="177"/>
      </w:pPr>
      <w:rPr>
        <w:rFonts w:hint="default"/>
      </w:rPr>
    </w:lvl>
    <w:lvl w:ilvl="7" w:tentative="0">
      <w:start w:val="0"/>
      <w:numFmt w:val="bullet"/>
      <w:lvlText w:val="•"/>
      <w:lvlJc w:val="left"/>
      <w:pPr>
        <w:ind w:left="6944" w:hanging="177"/>
      </w:pPr>
      <w:rPr>
        <w:rFonts w:hint="default"/>
      </w:rPr>
    </w:lvl>
    <w:lvl w:ilvl="8" w:tentative="0">
      <w:start w:val="0"/>
      <w:numFmt w:val="bullet"/>
      <w:lvlText w:val="•"/>
      <w:lvlJc w:val="left"/>
      <w:pPr>
        <w:ind w:left="7904" w:hanging="177"/>
      </w:pPr>
      <w:rPr>
        <w:rFonts w:hint="default"/>
      </w:rPr>
    </w:lvl>
  </w:abstractNum>
  <w:abstractNum w:abstractNumId="3">
    <w:nsid w:val="8CAEB125"/>
    <w:multiLevelType w:val="multilevel"/>
    <w:tmpl w:val="8CAEB125"/>
    <w:lvl w:ilvl="0" w:tentative="0">
      <w:start w:val="1"/>
      <w:numFmt w:val="decimal"/>
      <w:lvlText w:val="（%1）"/>
      <w:lvlJc w:val="left"/>
      <w:pPr>
        <w:ind w:left="1301" w:hanging="601"/>
        <w:jc w:val="left"/>
      </w:pPr>
      <w:rPr>
        <w:rFonts w:hint="default" w:ascii="宋体" w:hAnsi="宋体" w:eastAsia="宋体" w:cs="宋体"/>
        <w:spacing w:val="-2"/>
        <w:w w:val="100"/>
        <w:sz w:val="22"/>
        <w:szCs w:val="22"/>
      </w:rPr>
    </w:lvl>
    <w:lvl w:ilvl="1" w:tentative="0">
      <w:start w:val="0"/>
      <w:numFmt w:val="bullet"/>
      <w:lvlText w:val="•"/>
      <w:lvlJc w:val="left"/>
      <w:pPr>
        <w:ind w:left="2152" w:hanging="601"/>
      </w:pPr>
      <w:rPr>
        <w:rFonts w:hint="default"/>
      </w:rPr>
    </w:lvl>
    <w:lvl w:ilvl="2" w:tentative="0">
      <w:start w:val="0"/>
      <w:numFmt w:val="bullet"/>
      <w:lvlText w:val="•"/>
      <w:lvlJc w:val="left"/>
      <w:pPr>
        <w:ind w:left="3005" w:hanging="601"/>
      </w:pPr>
      <w:rPr>
        <w:rFonts w:hint="default"/>
      </w:rPr>
    </w:lvl>
    <w:lvl w:ilvl="3" w:tentative="0">
      <w:start w:val="0"/>
      <w:numFmt w:val="bullet"/>
      <w:lvlText w:val="•"/>
      <w:lvlJc w:val="left"/>
      <w:pPr>
        <w:ind w:left="3857" w:hanging="601"/>
      </w:pPr>
      <w:rPr>
        <w:rFonts w:hint="default"/>
      </w:rPr>
    </w:lvl>
    <w:lvl w:ilvl="4" w:tentative="0">
      <w:start w:val="0"/>
      <w:numFmt w:val="bullet"/>
      <w:lvlText w:val="•"/>
      <w:lvlJc w:val="left"/>
      <w:pPr>
        <w:ind w:left="4710" w:hanging="601"/>
      </w:pPr>
      <w:rPr>
        <w:rFonts w:hint="default"/>
      </w:rPr>
    </w:lvl>
    <w:lvl w:ilvl="5" w:tentative="0">
      <w:start w:val="0"/>
      <w:numFmt w:val="bullet"/>
      <w:lvlText w:val="•"/>
      <w:lvlJc w:val="left"/>
      <w:pPr>
        <w:ind w:left="5563" w:hanging="601"/>
      </w:pPr>
      <w:rPr>
        <w:rFonts w:hint="default"/>
      </w:rPr>
    </w:lvl>
    <w:lvl w:ilvl="6" w:tentative="0">
      <w:start w:val="0"/>
      <w:numFmt w:val="bullet"/>
      <w:lvlText w:val="•"/>
      <w:lvlJc w:val="left"/>
      <w:pPr>
        <w:ind w:left="6415" w:hanging="601"/>
      </w:pPr>
      <w:rPr>
        <w:rFonts w:hint="default"/>
      </w:rPr>
    </w:lvl>
    <w:lvl w:ilvl="7" w:tentative="0">
      <w:start w:val="0"/>
      <w:numFmt w:val="bullet"/>
      <w:lvlText w:val="•"/>
      <w:lvlJc w:val="left"/>
      <w:pPr>
        <w:ind w:left="7268" w:hanging="601"/>
      </w:pPr>
      <w:rPr>
        <w:rFonts w:hint="default"/>
      </w:rPr>
    </w:lvl>
    <w:lvl w:ilvl="8" w:tentative="0">
      <w:start w:val="0"/>
      <w:numFmt w:val="bullet"/>
      <w:lvlText w:val="•"/>
      <w:lvlJc w:val="left"/>
      <w:pPr>
        <w:ind w:left="8120" w:hanging="601"/>
      </w:pPr>
      <w:rPr>
        <w:rFonts w:hint="default"/>
      </w:rPr>
    </w:lvl>
  </w:abstractNum>
  <w:abstractNum w:abstractNumId="4">
    <w:nsid w:val="91995D4F"/>
    <w:multiLevelType w:val="multilevel"/>
    <w:tmpl w:val="91995D4F"/>
    <w:lvl w:ilvl="0" w:tentative="0">
      <w:start w:val="1"/>
      <w:numFmt w:val="lowerLetter"/>
      <w:lvlText w:val="%1."/>
      <w:lvlJc w:val="left"/>
      <w:pPr>
        <w:ind w:left="876" w:hanging="177"/>
        <w:jc w:val="left"/>
      </w:pPr>
      <w:rPr>
        <w:rFonts w:hint="default" w:ascii="Calibri" w:hAnsi="Calibri" w:eastAsia="Calibri" w:cs="Calibri"/>
        <w:spacing w:val="-1"/>
        <w:w w:val="100"/>
        <w:sz w:val="22"/>
        <w:szCs w:val="22"/>
      </w:rPr>
    </w:lvl>
    <w:lvl w:ilvl="1" w:tentative="0">
      <w:start w:val="0"/>
      <w:numFmt w:val="bullet"/>
      <w:lvlText w:val="•"/>
      <w:lvlJc w:val="left"/>
      <w:pPr>
        <w:ind w:left="1774" w:hanging="177"/>
      </w:pPr>
      <w:rPr>
        <w:rFonts w:hint="default"/>
      </w:rPr>
    </w:lvl>
    <w:lvl w:ilvl="2" w:tentative="0">
      <w:start w:val="0"/>
      <w:numFmt w:val="bullet"/>
      <w:lvlText w:val="•"/>
      <w:lvlJc w:val="left"/>
      <w:pPr>
        <w:ind w:left="2669" w:hanging="177"/>
      </w:pPr>
      <w:rPr>
        <w:rFonts w:hint="default"/>
      </w:rPr>
    </w:lvl>
    <w:lvl w:ilvl="3" w:tentative="0">
      <w:start w:val="0"/>
      <w:numFmt w:val="bullet"/>
      <w:lvlText w:val="•"/>
      <w:lvlJc w:val="left"/>
      <w:pPr>
        <w:ind w:left="3563" w:hanging="177"/>
      </w:pPr>
      <w:rPr>
        <w:rFonts w:hint="default"/>
      </w:rPr>
    </w:lvl>
    <w:lvl w:ilvl="4" w:tentative="0">
      <w:start w:val="0"/>
      <w:numFmt w:val="bullet"/>
      <w:lvlText w:val="•"/>
      <w:lvlJc w:val="left"/>
      <w:pPr>
        <w:ind w:left="4458" w:hanging="177"/>
      </w:pPr>
      <w:rPr>
        <w:rFonts w:hint="default"/>
      </w:rPr>
    </w:lvl>
    <w:lvl w:ilvl="5" w:tentative="0">
      <w:start w:val="0"/>
      <w:numFmt w:val="bullet"/>
      <w:lvlText w:val="•"/>
      <w:lvlJc w:val="left"/>
      <w:pPr>
        <w:ind w:left="5353" w:hanging="177"/>
      </w:pPr>
      <w:rPr>
        <w:rFonts w:hint="default"/>
      </w:rPr>
    </w:lvl>
    <w:lvl w:ilvl="6" w:tentative="0">
      <w:start w:val="0"/>
      <w:numFmt w:val="bullet"/>
      <w:lvlText w:val="•"/>
      <w:lvlJc w:val="left"/>
      <w:pPr>
        <w:ind w:left="6247" w:hanging="177"/>
      </w:pPr>
      <w:rPr>
        <w:rFonts w:hint="default"/>
      </w:rPr>
    </w:lvl>
    <w:lvl w:ilvl="7" w:tentative="0">
      <w:start w:val="0"/>
      <w:numFmt w:val="bullet"/>
      <w:lvlText w:val="•"/>
      <w:lvlJc w:val="left"/>
      <w:pPr>
        <w:ind w:left="7142" w:hanging="177"/>
      </w:pPr>
      <w:rPr>
        <w:rFonts w:hint="default"/>
      </w:rPr>
    </w:lvl>
    <w:lvl w:ilvl="8" w:tentative="0">
      <w:start w:val="0"/>
      <w:numFmt w:val="bullet"/>
      <w:lvlText w:val="•"/>
      <w:lvlJc w:val="left"/>
      <w:pPr>
        <w:ind w:left="8036" w:hanging="177"/>
      </w:pPr>
      <w:rPr>
        <w:rFonts w:hint="default"/>
      </w:rPr>
    </w:lvl>
  </w:abstractNum>
  <w:abstractNum w:abstractNumId="5">
    <w:nsid w:val="9239341B"/>
    <w:multiLevelType w:val="multilevel"/>
    <w:tmpl w:val="9239341B"/>
    <w:lvl w:ilvl="0" w:tentative="0">
      <w:start w:val="3"/>
      <w:numFmt w:val="decimal"/>
      <w:lvlText w:val="%1"/>
      <w:lvlJc w:val="left"/>
      <w:pPr>
        <w:ind w:left="1062" w:hanging="363"/>
        <w:jc w:val="left"/>
      </w:pPr>
      <w:rPr>
        <w:rFonts w:hint="default"/>
      </w:rPr>
    </w:lvl>
    <w:lvl w:ilvl="1" w:tentative="0">
      <w:start w:val="1"/>
      <w:numFmt w:val="decimal"/>
      <w:lvlText w:val="%1.%2"/>
      <w:lvlJc w:val="left"/>
      <w:pPr>
        <w:ind w:left="1062" w:hanging="363"/>
        <w:jc w:val="left"/>
      </w:pPr>
      <w:rPr>
        <w:rFonts w:hint="default" w:ascii="Calibri" w:hAnsi="Calibri" w:eastAsia="Calibri" w:cs="Calibri"/>
        <w:spacing w:val="-1"/>
        <w:w w:val="100"/>
        <w:sz w:val="24"/>
        <w:szCs w:val="24"/>
      </w:rPr>
    </w:lvl>
    <w:lvl w:ilvl="2" w:tentative="0">
      <w:start w:val="0"/>
      <w:numFmt w:val="bullet"/>
      <w:lvlText w:val="•"/>
      <w:lvlJc w:val="left"/>
      <w:pPr>
        <w:ind w:left="2813" w:hanging="363"/>
      </w:pPr>
      <w:rPr>
        <w:rFonts w:hint="default"/>
      </w:rPr>
    </w:lvl>
    <w:lvl w:ilvl="3" w:tentative="0">
      <w:start w:val="0"/>
      <w:numFmt w:val="bullet"/>
      <w:lvlText w:val="•"/>
      <w:lvlJc w:val="left"/>
      <w:pPr>
        <w:ind w:left="3689" w:hanging="363"/>
      </w:pPr>
      <w:rPr>
        <w:rFonts w:hint="default"/>
      </w:rPr>
    </w:lvl>
    <w:lvl w:ilvl="4" w:tentative="0">
      <w:start w:val="0"/>
      <w:numFmt w:val="bullet"/>
      <w:lvlText w:val="•"/>
      <w:lvlJc w:val="left"/>
      <w:pPr>
        <w:ind w:left="4566" w:hanging="363"/>
      </w:pPr>
      <w:rPr>
        <w:rFonts w:hint="default"/>
      </w:rPr>
    </w:lvl>
    <w:lvl w:ilvl="5" w:tentative="0">
      <w:start w:val="0"/>
      <w:numFmt w:val="bullet"/>
      <w:lvlText w:val="•"/>
      <w:lvlJc w:val="left"/>
      <w:pPr>
        <w:ind w:left="5443" w:hanging="363"/>
      </w:pPr>
      <w:rPr>
        <w:rFonts w:hint="default"/>
      </w:rPr>
    </w:lvl>
    <w:lvl w:ilvl="6" w:tentative="0">
      <w:start w:val="0"/>
      <w:numFmt w:val="bullet"/>
      <w:lvlText w:val="•"/>
      <w:lvlJc w:val="left"/>
      <w:pPr>
        <w:ind w:left="6319" w:hanging="363"/>
      </w:pPr>
      <w:rPr>
        <w:rFonts w:hint="default"/>
      </w:rPr>
    </w:lvl>
    <w:lvl w:ilvl="7" w:tentative="0">
      <w:start w:val="0"/>
      <w:numFmt w:val="bullet"/>
      <w:lvlText w:val="•"/>
      <w:lvlJc w:val="left"/>
      <w:pPr>
        <w:ind w:left="7196" w:hanging="363"/>
      </w:pPr>
      <w:rPr>
        <w:rFonts w:hint="default"/>
      </w:rPr>
    </w:lvl>
    <w:lvl w:ilvl="8" w:tentative="0">
      <w:start w:val="0"/>
      <w:numFmt w:val="bullet"/>
      <w:lvlText w:val="•"/>
      <w:lvlJc w:val="left"/>
      <w:pPr>
        <w:ind w:left="8072" w:hanging="363"/>
      </w:pPr>
      <w:rPr>
        <w:rFonts w:hint="default"/>
      </w:rPr>
    </w:lvl>
  </w:abstractNum>
  <w:abstractNum w:abstractNumId="6">
    <w:nsid w:val="9288B902"/>
    <w:multiLevelType w:val="multilevel"/>
    <w:tmpl w:val="9288B902"/>
    <w:lvl w:ilvl="0" w:tentative="0">
      <w:start w:val="1"/>
      <w:numFmt w:val="decimal"/>
      <w:lvlText w:val="（%1）"/>
      <w:lvlJc w:val="left"/>
      <w:pPr>
        <w:ind w:left="220" w:hanging="604"/>
        <w:jc w:val="left"/>
      </w:pPr>
      <w:rPr>
        <w:rFonts w:hint="default" w:ascii="宋体" w:hAnsi="宋体" w:eastAsia="宋体" w:cs="宋体"/>
        <w:w w:val="100"/>
        <w:sz w:val="22"/>
        <w:szCs w:val="22"/>
      </w:rPr>
    </w:lvl>
    <w:lvl w:ilvl="1" w:tentative="0">
      <w:start w:val="0"/>
      <w:numFmt w:val="bullet"/>
      <w:lvlText w:val="•"/>
      <w:lvlJc w:val="left"/>
      <w:pPr>
        <w:ind w:left="1180" w:hanging="604"/>
      </w:pPr>
      <w:rPr>
        <w:rFonts w:hint="default"/>
      </w:rPr>
    </w:lvl>
    <w:lvl w:ilvl="2" w:tentative="0">
      <w:start w:val="0"/>
      <w:numFmt w:val="bullet"/>
      <w:lvlText w:val="•"/>
      <w:lvlJc w:val="left"/>
      <w:pPr>
        <w:ind w:left="2141" w:hanging="604"/>
      </w:pPr>
      <w:rPr>
        <w:rFonts w:hint="default"/>
      </w:rPr>
    </w:lvl>
    <w:lvl w:ilvl="3" w:tentative="0">
      <w:start w:val="0"/>
      <w:numFmt w:val="bullet"/>
      <w:lvlText w:val="•"/>
      <w:lvlJc w:val="left"/>
      <w:pPr>
        <w:ind w:left="3101" w:hanging="604"/>
      </w:pPr>
      <w:rPr>
        <w:rFonts w:hint="default"/>
      </w:rPr>
    </w:lvl>
    <w:lvl w:ilvl="4" w:tentative="0">
      <w:start w:val="0"/>
      <w:numFmt w:val="bullet"/>
      <w:lvlText w:val="•"/>
      <w:lvlJc w:val="left"/>
      <w:pPr>
        <w:ind w:left="4062" w:hanging="604"/>
      </w:pPr>
      <w:rPr>
        <w:rFonts w:hint="default"/>
      </w:rPr>
    </w:lvl>
    <w:lvl w:ilvl="5" w:tentative="0">
      <w:start w:val="0"/>
      <w:numFmt w:val="bullet"/>
      <w:lvlText w:val="•"/>
      <w:lvlJc w:val="left"/>
      <w:pPr>
        <w:ind w:left="5023" w:hanging="604"/>
      </w:pPr>
      <w:rPr>
        <w:rFonts w:hint="default"/>
      </w:rPr>
    </w:lvl>
    <w:lvl w:ilvl="6" w:tentative="0">
      <w:start w:val="0"/>
      <w:numFmt w:val="bullet"/>
      <w:lvlText w:val="•"/>
      <w:lvlJc w:val="left"/>
      <w:pPr>
        <w:ind w:left="5983" w:hanging="604"/>
      </w:pPr>
      <w:rPr>
        <w:rFonts w:hint="default"/>
      </w:rPr>
    </w:lvl>
    <w:lvl w:ilvl="7" w:tentative="0">
      <w:start w:val="0"/>
      <w:numFmt w:val="bullet"/>
      <w:lvlText w:val="•"/>
      <w:lvlJc w:val="left"/>
      <w:pPr>
        <w:ind w:left="6944" w:hanging="604"/>
      </w:pPr>
      <w:rPr>
        <w:rFonts w:hint="default"/>
      </w:rPr>
    </w:lvl>
    <w:lvl w:ilvl="8" w:tentative="0">
      <w:start w:val="0"/>
      <w:numFmt w:val="bullet"/>
      <w:lvlText w:val="•"/>
      <w:lvlJc w:val="left"/>
      <w:pPr>
        <w:ind w:left="7904" w:hanging="604"/>
      </w:pPr>
      <w:rPr>
        <w:rFonts w:hint="default"/>
      </w:rPr>
    </w:lvl>
  </w:abstractNum>
  <w:abstractNum w:abstractNumId="7">
    <w:nsid w:val="95E682A1"/>
    <w:multiLevelType w:val="multilevel"/>
    <w:tmpl w:val="95E682A1"/>
    <w:lvl w:ilvl="0" w:tentative="0">
      <w:start w:val="3"/>
      <w:numFmt w:val="decimal"/>
      <w:lvlText w:val="%1"/>
      <w:lvlJc w:val="left"/>
      <w:pPr>
        <w:ind w:left="220" w:hanging="365"/>
        <w:jc w:val="left"/>
      </w:pPr>
      <w:rPr>
        <w:rFonts w:hint="default"/>
      </w:rPr>
    </w:lvl>
    <w:lvl w:ilvl="1" w:tentative="0">
      <w:start w:val="1"/>
      <w:numFmt w:val="decimal"/>
      <w:lvlText w:val="%1.%2"/>
      <w:lvlJc w:val="left"/>
      <w:pPr>
        <w:ind w:left="220" w:hanging="365"/>
        <w:jc w:val="left"/>
      </w:pPr>
      <w:rPr>
        <w:rFonts w:hint="default" w:ascii="Calibri" w:hAnsi="Calibri" w:eastAsia="Calibri" w:cs="Calibri"/>
        <w:spacing w:val="-1"/>
        <w:w w:val="100"/>
        <w:sz w:val="24"/>
        <w:szCs w:val="24"/>
      </w:rPr>
    </w:lvl>
    <w:lvl w:ilvl="2" w:tentative="0">
      <w:start w:val="0"/>
      <w:numFmt w:val="bullet"/>
      <w:lvlText w:val="•"/>
      <w:lvlJc w:val="left"/>
      <w:pPr>
        <w:ind w:left="2141" w:hanging="365"/>
      </w:pPr>
      <w:rPr>
        <w:rFonts w:hint="default"/>
      </w:rPr>
    </w:lvl>
    <w:lvl w:ilvl="3" w:tentative="0">
      <w:start w:val="0"/>
      <w:numFmt w:val="bullet"/>
      <w:lvlText w:val="•"/>
      <w:lvlJc w:val="left"/>
      <w:pPr>
        <w:ind w:left="3101" w:hanging="365"/>
      </w:pPr>
      <w:rPr>
        <w:rFonts w:hint="default"/>
      </w:rPr>
    </w:lvl>
    <w:lvl w:ilvl="4" w:tentative="0">
      <w:start w:val="0"/>
      <w:numFmt w:val="bullet"/>
      <w:lvlText w:val="•"/>
      <w:lvlJc w:val="left"/>
      <w:pPr>
        <w:ind w:left="4062" w:hanging="365"/>
      </w:pPr>
      <w:rPr>
        <w:rFonts w:hint="default"/>
      </w:rPr>
    </w:lvl>
    <w:lvl w:ilvl="5" w:tentative="0">
      <w:start w:val="0"/>
      <w:numFmt w:val="bullet"/>
      <w:lvlText w:val="•"/>
      <w:lvlJc w:val="left"/>
      <w:pPr>
        <w:ind w:left="5023" w:hanging="365"/>
      </w:pPr>
      <w:rPr>
        <w:rFonts w:hint="default"/>
      </w:rPr>
    </w:lvl>
    <w:lvl w:ilvl="6" w:tentative="0">
      <w:start w:val="0"/>
      <w:numFmt w:val="bullet"/>
      <w:lvlText w:val="•"/>
      <w:lvlJc w:val="left"/>
      <w:pPr>
        <w:ind w:left="5983" w:hanging="365"/>
      </w:pPr>
      <w:rPr>
        <w:rFonts w:hint="default"/>
      </w:rPr>
    </w:lvl>
    <w:lvl w:ilvl="7" w:tentative="0">
      <w:start w:val="0"/>
      <w:numFmt w:val="bullet"/>
      <w:lvlText w:val="•"/>
      <w:lvlJc w:val="left"/>
      <w:pPr>
        <w:ind w:left="6944" w:hanging="365"/>
      </w:pPr>
      <w:rPr>
        <w:rFonts w:hint="default"/>
      </w:rPr>
    </w:lvl>
    <w:lvl w:ilvl="8" w:tentative="0">
      <w:start w:val="0"/>
      <w:numFmt w:val="bullet"/>
      <w:lvlText w:val="•"/>
      <w:lvlJc w:val="left"/>
      <w:pPr>
        <w:ind w:left="7904" w:hanging="365"/>
      </w:pPr>
      <w:rPr>
        <w:rFonts w:hint="default"/>
      </w:rPr>
    </w:lvl>
  </w:abstractNum>
  <w:abstractNum w:abstractNumId="8">
    <w:nsid w:val="9C8AC8EF"/>
    <w:multiLevelType w:val="multilevel"/>
    <w:tmpl w:val="9C8AC8EF"/>
    <w:lvl w:ilvl="0" w:tentative="0">
      <w:start w:val="1"/>
      <w:numFmt w:val="decimal"/>
      <w:lvlText w:val="（%1）"/>
      <w:lvlJc w:val="left"/>
      <w:pPr>
        <w:ind w:left="1301" w:hanging="601"/>
        <w:jc w:val="left"/>
      </w:pPr>
      <w:rPr>
        <w:rFonts w:hint="default" w:ascii="宋体" w:hAnsi="宋体" w:eastAsia="宋体" w:cs="宋体"/>
        <w:spacing w:val="-2"/>
        <w:w w:val="100"/>
        <w:sz w:val="22"/>
        <w:szCs w:val="22"/>
      </w:rPr>
    </w:lvl>
    <w:lvl w:ilvl="1" w:tentative="0">
      <w:start w:val="0"/>
      <w:numFmt w:val="bullet"/>
      <w:lvlText w:val="•"/>
      <w:lvlJc w:val="left"/>
      <w:pPr>
        <w:ind w:left="2152" w:hanging="601"/>
      </w:pPr>
      <w:rPr>
        <w:rFonts w:hint="default"/>
      </w:rPr>
    </w:lvl>
    <w:lvl w:ilvl="2" w:tentative="0">
      <w:start w:val="0"/>
      <w:numFmt w:val="bullet"/>
      <w:lvlText w:val="•"/>
      <w:lvlJc w:val="left"/>
      <w:pPr>
        <w:ind w:left="3005" w:hanging="601"/>
      </w:pPr>
      <w:rPr>
        <w:rFonts w:hint="default"/>
      </w:rPr>
    </w:lvl>
    <w:lvl w:ilvl="3" w:tentative="0">
      <w:start w:val="0"/>
      <w:numFmt w:val="bullet"/>
      <w:lvlText w:val="•"/>
      <w:lvlJc w:val="left"/>
      <w:pPr>
        <w:ind w:left="3857" w:hanging="601"/>
      </w:pPr>
      <w:rPr>
        <w:rFonts w:hint="default"/>
      </w:rPr>
    </w:lvl>
    <w:lvl w:ilvl="4" w:tentative="0">
      <w:start w:val="0"/>
      <w:numFmt w:val="bullet"/>
      <w:lvlText w:val="•"/>
      <w:lvlJc w:val="left"/>
      <w:pPr>
        <w:ind w:left="4710" w:hanging="601"/>
      </w:pPr>
      <w:rPr>
        <w:rFonts w:hint="default"/>
      </w:rPr>
    </w:lvl>
    <w:lvl w:ilvl="5" w:tentative="0">
      <w:start w:val="0"/>
      <w:numFmt w:val="bullet"/>
      <w:lvlText w:val="•"/>
      <w:lvlJc w:val="left"/>
      <w:pPr>
        <w:ind w:left="5563" w:hanging="601"/>
      </w:pPr>
      <w:rPr>
        <w:rFonts w:hint="default"/>
      </w:rPr>
    </w:lvl>
    <w:lvl w:ilvl="6" w:tentative="0">
      <w:start w:val="0"/>
      <w:numFmt w:val="bullet"/>
      <w:lvlText w:val="•"/>
      <w:lvlJc w:val="left"/>
      <w:pPr>
        <w:ind w:left="6415" w:hanging="601"/>
      </w:pPr>
      <w:rPr>
        <w:rFonts w:hint="default"/>
      </w:rPr>
    </w:lvl>
    <w:lvl w:ilvl="7" w:tentative="0">
      <w:start w:val="0"/>
      <w:numFmt w:val="bullet"/>
      <w:lvlText w:val="•"/>
      <w:lvlJc w:val="left"/>
      <w:pPr>
        <w:ind w:left="7268" w:hanging="601"/>
      </w:pPr>
      <w:rPr>
        <w:rFonts w:hint="default"/>
      </w:rPr>
    </w:lvl>
    <w:lvl w:ilvl="8" w:tentative="0">
      <w:start w:val="0"/>
      <w:numFmt w:val="bullet"/>
      <w:lvlText w:val="•"/>
      <w:lvlJc w:val="left"/>
      <w:pPr>
        <w:ind w:left="8120" w:hanging="601"/>
      </w:pPr>
      <w:rPr>
        <w:rFonts w:hint="default"/>
      </w:rPr>
    </w:lvl>
  </w:abstractNum>
  <w:abstractNum w:abstractNumId="9">
    <w:nsid w:val="9D7EB8E6"/>
    <w:multiLevelType w:val="multilevel"/>
    <w:tmpl w:val="9D7EB8E6"/>
    <w:lvl w:ilvl="0" w:tentative="0">
      <w:start w:val="1"/>
      <w:numFmt w:val="decimal"/>
      <w:lvlText w:val="（%1）"/>
      <w:lvlJc w:val="left"/>
      <w:pPr>
        <w:ind w:left="220" w:hanging="601"/>
        <w:jc w:val="left"/>
      </w:pPr>
      <w:rPr>
        <w:rFonts w:hint="default" w:ascii="宋体" w:hAnsi="宋体" w:eastAsia="宋体" w:cs="宋体"/>
        <w:spacing w:val="-48"/>
        <w:w w:val="100"/>
        <w:sz w:val="22"/>
        <w:szCs w:val="22"/>
      </w:rPr>
    </w:lvl>
    <w:lvl w:ilvl="1" w:tentative="0">
      <w:start w:val="0"/>
      <w:numFmt w:val="bullet"/>
      <w:lvlText w:val="•"/>
      <w:lvlJc w:val="left"/>
      <w:pPr>
        <w:ind w:left="1180" w:hanging="601"/>
      </w:pPr>
      <w:rPr>
        <w:rFonts w:hint="default"/>
      </w:rPr>
    </w:lvl>
    <w:lvl w:ilvl="2" w:tentative="0">
      <w:start w:val="0"/>
      <w:numFmt w:val="bullet"/>
      <w:lvlText w:val="•"/>
      <w:lvlJc w:val="left"/>
      <w:pPr>
        <w:ind w:left="2141" w:hanging="601"/>
      </w:pPr>
      <w:rPr>
        <w:rFonts w:hint="default"/>
      </w:rPr>
    </w:lvl>
    <w:lvl w:ilvl="3" w:tentative="0">
      <w:start w:val="0"/>
      <w:numFmt w:val="bullet"/>
      <w:lvlText w:val="•"/>
      <w:lvlJc w:val="left"/>
      <w:pPr>
        <w:ind w:left="3101" w:hanging="601"/>
      </w:pPr>
      <w:rPr>
        <w:rFonts w:hint="default"/>
      </w:rPr>
    </w:lvl>
    <w:lvl w:ilvl="4" w:tentative="0">
      <w:start w:val="0"/>
      <w:numFmt w:val="bullet"/>
      <w:lvlText w:val="•"/>
      <w:lvlJc w:val="left"/>
      <w:pPr>
        <w:ind w:left="4062" w:hanging="601"/>
      </w:pPr>
      <w:rPr>
        <w:rFonts w:hint="default"/>
      </w:rPr>
    </w:lvl>
    <w:lvl w:ilvl="5" w:tentative="0">
      <w:start w:val="0"/>
      <w:numFmt w:val="bullet"/>
      <w:lvlText w:val="•"/>
      <w:lvlJc w:val="left"/>
      <w:pPr>
        <w:ind w:left="5023" w:hanging="601"/>
      </w:pPr>
      <w:rPr>
        <w:rFonts w:hint="default"/>
      </w:rPr>
    </w:lvl>
    <w:lvl w:ilvl="6" w:tentative="0">
      <w:start w:val="0"/>
      <w:numFmt w:val="bullet"/>
      <w:lvlText w:val="•"/>
      <w:lvlJc w:val="left"/>
      <w:pPr>
        <w:ind w:left="5983" w:hanging="601"/>
      </w:pPr>
      <w:rPr>
        <w:rFonts w:hint="default"/>
      </w:rPr>
    </w:lvl>
    <w:lvl w:ilvl="7" w:tentative="0">
      <w:start w:val="0"/>
      <w:numFmt w:val="bullet"/>
      <w:lvlText w:val="•"/>
      <w:lvlJc w:val="left"/>
      <w:pPr>
        <w:ind w:left="6944" w:hanging="601"/>
      </w:pPr>
      <w:rPr>
        <w:rFonts w:hint="default"/>
      </w:rPr>
    </w:lvl>
    <w:lvl w:ilvl="8" w:tentative="0">
      <w:start w:val="0"/>
      <w:numFmt w:val="bullet"/>
      <w:lvlText w:val="•"/>
      <w:lvlJc w:val="left"/>
      <w:pPr>
        <w:ind w:left="7904" w:hanging="601"/>
      </w:pPr>
      <w:rPr>
        <w:rFonts w:hint="default"/>
      </w:rPr>
    </w:lvl>
  </w:abstractNum>
  <w:abstractNum w:abstractNumId="10">
    <w:nsid w:val="AE22F93C"/>
    <w:multiLevelType w:val="multilevel"/>
    <w:tmpl w:val="AE22F93C"/>
    <w:lvl w:ilvl="0" w:tentative="0">
      <w:start w:val="1"/>
      <w:numFmt w:val="decimal"/>
      <w:suff w:val="nothing"/>
      <w:lvlText w:val="%1、"/>
      <w:lvlJc w:val="left"/>
      <w:pPr>
        <w:ind w:left="0" w:leftChars="0" w:firstLine="0" w:firstLineChars="0"/>
      </w:pPr>
      <w:rPr>
        <w:rFonts w:hint="default"/>
      </w:rPr>
    </w:lvl>
    <w:lvl w:ilvl="1" w:tentative="0">
      <w:start w:val="1"/>
      <w:numFmt w:val="decimal"/>
      <w:suff w:val="nothing"/>
      <w:lvlText w:val="%1.%2、"/>
      <w:lvlJc w:val="left"/>
      <w:pPr>
        <w:ind w:left="0" w:leftChars="0" w:firstLine="0" w:firstLineChars="0"/>
      </w:pPr>
      <w:rPr>
        <w:rFonts w:hint="default"/>
      </w:rPr>
    </w:lvl>
    <w:lvl w:ilvl="2" w:tentative="0">
      <w:start w:val="1"/>
      <w:numFmt w:val="decimal"/>
      <w:suff w:val="nothing"/>
      <w:lvlText w:val="%1.%2.%3、"/>
      <w:lvlJc w:val="left"/>
      <w:pPr>
        <w:ind w:left="0" w:leftChars="0" w:firstLine="0" w:firstLineChars="0"/>
      </w:pPr>
      <w:rPr>
        <w:rFonts w:hint="default"/>
      </w:rPr>
    </w:lvl>
    <w:lvl w:ilvl="3" w:tentative="0">
      <w:start w:val="1"/>
      <w:numFmt w:val="decimal"/>
      <w:suff w:val="nothing"/>
      <w:lvlText w:val="%1.%2.%3.%4、"/>
      <w:lvlJc w:val="left"/>
      <w:pPr>
        <w:ind w:left="0" w:leftChars="0" w:firstLine="0" w:firstLineChars="0"/>
      </w:pPr>
      <w:rPr>
        <w:rFonts w:hint="default"/>
      </w:rPr>
    </w:lvl>
    <w:lvl w:ilvl="4" w:tentative="0">
      <w:start w:val="1"/>
      <w:numFmt w:val="decimal"/>
      <w:suff w:val="nothing"/>
      <w:lvlText w:val="%1.%2.%3.%4.%5、"/>
      <w:lvlJc w:val="left"/>
      <w:pPr>
        <w:ind w:left="0" w:leftChars="0" w:firstLine="0" w:firstLineChars="0"/>
      </w:pPr>
      <w:rPr>
        <w:rFonts w:hint="default"/>
      </w:rPr>
    </w:lvl>
    <w:lvl w:ilvl="5" w:tentative="0">
      <w:start w:val="1"/>
      <w:numFmt w:val="decimal"/>
      <w:suff w:val="nothing"/>
      <w:lvlText w:val="%1.%2.%3.%4.%5.%6、"/>
      <w:lvlJc w:val="left"/>
      <w:pPr>
        <w:ind w:left="0" w:leftChars="0" w:firstLine="0" w:firstLineChars="0"/>
      </w:pPr>
      <w:rPr>
        <w:rFonts w:hint="default"/>
      </w:rPr>
    </w:lvl>
    <w:lvl w:ilvl="6" w:tentative="0">
      <w:start w:val="1"/>
      <w:numFmt w:val="decimal"/>
      <w:suff w:val="nothing"/>
      <w:lvlText w:val="%1.%2.%3.%4.%5.%6.%7、"/>
      <w:lvlJc w:val="left"/>
      <w:pPr>
        <w:ind w:left="0" w:leftChars="0" w:firstLine="0" w:firstLineChars="0"/>
      </w:pPr>
      <w:rPr>
        <w:rFonts w:hint="default"/>
      </w:rPr>
    </w:lvl>
    <w:lvl w:ilvl="7" w:tentative="0">
      <w:start w:val="1"/>
      <w:numFmt w:val="decimal"/>
      <w:suff w:val="nothing"/>
      <w:lvlText w:val="%1.%2.%3.%4.%5.%6.%7.%8、"/>
      <w:lvlJc w:val="left"/>
      <w:pPr>
        <w:ind w:left="0" w:leftChars="0" w:firstLine="0" w:firstLineChars="0"/>
      </w:pPr>
      <w:rPr>
        <w:rFonts w:hint="default"/>
      </w:rPr>
    </w:lvl>
    <w:lvl w:ilvl="8" w:tentative="0">
      <w:start w:val="1"/>
      <w:numFmt w:val="decimal"/>
      <w:suff w:val="nothing"/>
      <w:lvlText w:val="%1.%2.%3.%4.%5.%6.%7.%8.%9、"/>
      <w:lvlJc w:val="left"/>
      <w:pPr>
        <w:ind w:left="0" w:leftChars="0" w:firstLine="0" w:firstLineChars="0"/>
      </w:pPr>
      <w:rPr>
        <w:rFonts w:hint="default"/>
      </w:rPr>
    </w:lvl>
  </w:abstractNum>
  <w:abstractNum w:abstractNumId="11">
    <w:nsid w:val="B0F1ACD9"/>
    <w:multiLevelType w:val="multilevel"/>
    <w:tmpl w:val="B0F1ACD9"/>
    <w:lvl w:ilvl="0" w:tentative="0">
      <w:start w:val="1"/>
      <w:numFmt w:val="decimal"/>
      <w:lvlText w:val="（%1）"/>
      <w:lvlJc w:val="left"/>
      <w:pPr>
        <w:ind w:left="1301" w:hanging="601"/>
        <w:jc w:val="left"/>
      </w:pPr>
      <w:rPr>
        <w:rFonts w:hint="default" w:ascii="宋体" w:hAnsi="宋体" w:eastAsia="宋体" w:cs="宋体"/>
        <w:spacing w:val="-2"/>
        <w:w w:val="100"/>
        <w:sz w:val="22"/>
        <w:szCs w:val="22"/>
      </w:rPr>
    </w:lvl>
    <w:lvl w:ilvl="1" w:tentative="0">
      <w:start w:val="0"/>
      <w:numFmt w:val="bullet"/>
      <w:lvlText w:val="•"/>
      <w:lvlJc w:val="left"/>
      <w:pPr>
        <w:ind w:left="2152" w:hanging="601"/>
      </w:pPr>
      <w:rPr>
        <w:rFonts w:hint="default"/>
      </w:rPr>
    </w:lvl>
    <w:lvl w:ilvl="2" w:tentative="0">
      <w:start w:val="0"/>
      <w:numFmt w:val="bullet"/>
      <w:lvlText w:val="•"/>
      <w:lvlJc w:val="left"/>
      <w:pPr>
        <w:ind w:left="3005" w:hanging="601"/>
      </w:pPr>
      <w:rPr>
        <w:rFonts w:hint="default"/>
      </w:rPr>
    </w:lvl>
    <w:lvl w:ilvl="3" w:tentative="0">
      <w:start w:val="0"/>
      <w:numFmt w:val="bullet"/>
      <w:lvlText w:val="•"/>
      <w:lvlJc w:val="left"/>
      <w:pPr>
        <w:ind w:left="3857" w:hanging="601"/>
      </w:pPr>
      <w:rPr>
        <w:rFonts w:hint="default"/>
      </w:rPr>
    </w:lvl>
    <w:lvl w:ilvl="4" w:tentative="0">
      <w:start w:val="0"/>
      <w:numFmt w:val="bullet"/>
      <w:lvlText w:val="•"/>
      <w:lvlJc w:val="left"/>
      <w:pPr>
        <w:ind w:left="4710" w:hanging="601"/>
      </w:pPr>
      <w:rPr>
        <w:rFonts w:hint="default"/>
      </w:rPr>
    </w:lvl>
    <w:lvl w:ilvl="5" w:tentative="0">
      <w:start w:val="0"/>
      <w:numFmt w:val="bullet"/>
      <w:lvlText w:val="•"/>
      <w:lvlJc w:val="left"/>
      <w:pPr>
        <w:ind w:left="5563" w:hanging="601"/>
      </w:pPr>
      <w:rPr>
        <w:rFonts w:hint="default"/>
      </w:rPr>
    </w:lvl>
    <w:lvl w:ilvl="6" w:tentative="0">
      <w:start w:val="0"/>
      <w:numFmt w:val="bullet"/>
      <w:lvlText w:val="•"/>
      <w:lvlJc w:val="left"/>
      <w:pPr>
        <w:ind w:left="6415" w:hanging="601"/>
      </w:pPr>
      <w:rPr>
        <w:rFonts w:hint="default"/>
      </w:rPr>
    </w:lvl>
    <w:lvl w:ilvl="7" w:tentative="0">
      <w:start w:val="0"/>
      <w:numFmt w:val="bullet"/>
      <w:lvlText w:val="•"/>
      <w:lvlJc w:val="left"/>
      <w:pPr>
        <w:ind w:left="7268" w:hanging="601"/>
      </w:pPr>
      <w:rPr>
        <w:rFonts w:hint="default"/>
      </w:rPr>
    </w:lvl>
    <w:lvl w:ilvl="8" w:tentative="0">
      <w:start w:val="0"/>
      <w:numFmt w:val="bullet"/>
      <w:lvlText w:val="•"/>
      <w:lvlJc w:val="left"/>
      <w:pPr>
        <w:ind w:left="8120" w:hanging="601"/>
      </w:pPr>
      <w:rPr>
        <w:rFonts w:hint="default"/>
      </w:rPr>
    </w:lvl>
  </w:abstractNum>
  <w:abstractNum w:abstractNumId="12">
    <w:nsid w:val="B53F3350"/>
    <w:multiLevelType w:val="multilevel"/>
    <w:tmpl w:val="B53F3350"/>
    <w:lvl w:ilvl="0" w:tentative="0">
      <w:start w:val="1"/>
      <w:numFmt w:val="lowerLetter"/>
      <w:lvlText w:val="%1."/>
      <w:lvlJc w:val="left"/>
      <w:pPr>
        <w:ind w:left="876" w:hanging="177"/>
        <w:jc w:val="left"/>
      </w:pPr>
      <w:rPr>
        <w:rFonts w:hint="default" w:ascii="Calibri" w:hAnsi="Calibri" w:eastAsia="Calibri" w:cs="Calibri"/>
        <w:spacing w:val="-1"/>
        <w:w w:val="100"/>
        <w:sz w:val="22"/>
        <w:szCs w:val="22"/>
      </w:rPr>
    </w:lvl>
    <w:lvl w:ilvl="1" w:tentative="0">
      <w:start w:val="0"/>
      <w:numFmt w:val="bullet"/>
      <w:lvlText w:val="•"/>
      <w:lvlJc w:val="left"/>
      <w:pPr>
        <w:ind w:left="1774" w:hanging="177"/>
      </w:pPr>
      <w:rPr>
        <w:rFonts w:hint="default"/>
      </w:rPr>
    </w:lvl>
    <w:lvl w:ilvl="2" w:tentative="0">
      <w:start w:val="0"/>
      <w:numFmt w:val="bullet"/>
      <w:lvlText w:val="•"/>
      <w:lvlJc w:val="left"/>
      <w:pPr>
        <w:ind w:left="2669" w:hanging="177"/>
      </w:pPr>
      <w:rPr>
        <w:rFonts w:hint="default"/>
      </w:rPr>
    </w:lvl>
    <w:lvl w:ilvl="3" w:tentative="0">
      <w:start w:val="0"/>
      <w:numFmt w:val="bullet"/>
      <w:lvlText w:val="•"/>
      <w:lvlJc w:val="left"/>
      <w:pPr>
        <w:ind w:left="3563" w:hanging="177"/>
      </w:pPr>
      <w:rPr>
        <w:rFonts w:hint="default"/>
      </w:rPr>
    </w:lvl>
    <w:lvl w:ilvl="4" w:tentative="0">
      <w:start w:val="0"/>
      <w:numFmt w:val="bullet"/>
      <w:lvlText w:val="•"/>
      <w:lvlJc w:val="left"/>
      <w:pPr>
        <w:ind w:left="4458" w:hanging="177"/>
      </w:pPr>
      <w:rPr>
        <w:rFonts w:hint="default"/>
      </w:rPr>
    </w:lvl>
    <w:lvl w:ilvl="5" w:tentative="0">
      <w:start w:val="0"/>
      <w:numFmt w:val="bullet"/>
      <w:lvlText w:val="•"/>
      <w:lvlJc w:val="left"/>
      <w:pPr>
        <w:ind w:left="5353" w:hanging="177"/>
      </w:pPr>
      <w:rPr>
        <w:rFonts w:hint="default"/>
      </w:rPr>
    </w:lvl>
    <w:lvl w:ilvl="6" w:tentative="0">
      <w:start w:val="0"/>
      <w:numFmt w:val="bullet"/>
      <w:lvlText w:val="•"/>
      <w:lvlJc w:val="left"/>
      <w:pPr>
        <w:ind w:left="6247" w:hanging="177"/>
      </w:pPr>
      <w:rPr>
        <w:rFonts w:hint="default"/>
      </w:rPr>
    </w:lvl>
    <w:lvl w:ilvl="7" w:tentative="0">
      <w:start w:val="0"/>
      <w:numFmt w:val="bullet"/>
      <w:lvlText w:val="•"/>
      <w:lvlJc w:val="left"/>
      <w:pPr>
        <w:ind w:left="7142" w:hanging="177"/>
      </w:pPr>
      <w:rPr>
        <w:rFonts w:hint="default"/>
      </w:rPr>
    </w:lvl>
    <w:lvl w:ilvl="8" w:tentative="0">
      <w:start w:val="0"/>
      <w:numFmt w:val="bullet"/>
      <w:lvlText w:val="•"/>
      <w:lvlJc w:val="left"/>
      <w:pPr>
        <w:ind w:left="8036" w:hanging="177"/>
      </w:pPr>
      <w:rPr>
        <w:rFonts w:hint="default"/>
      </w:rPr>
    </w:lvl>
  </w:abstractNum>
  <w:abstractNum w:abstractNumId="13">
    <w:nsid w:val="B8CEF35B"/>
    <w:multiLevelType w:val="multilevel"/>
    <w:tmpl w:val="B8CEF35B"/>
    <w:lvl w:ilvl="0" w:tentative="0">
      <w:start w:val="1"/>
      <w:numFmt w:val="decimal"/>
      <w:lvlText w:val="（%1）"/>
      <w:lvlJc w:val="left"/>
      <w:pPr>
        <w:ind w:left="1301" w:hanging="601"/>
        <w:jc w:val="left"/>
      </w:pPr>
      <w:rPr>
        <w:rFonts w:hint="default" w:ascii="宋体" w:hAnsi="宋体" w:eastAsia="宋体" w:cs="宋体"/>
        <w:spacing w:val="-2"/>
        <w:w w:val="100"/>
        <w:sz w:val="22"/>
        <w:szCs w:val="22"/>
      </w:rPr>
    </w:lvl>
    <w:lvl w:ilvl="1" w:tentative="0">
      <w:start w:val="0"/>
      <w:numFmt w:val="bullet"/>
      <w:lvlText w:val="•"/>
      <w:lvlJc w:val="left"/>
      <w:pPr>
        <w:ind w:left="2152" w:hanging="601"/>
      </w:pPr>
      <w:rPr>
        <w:rFonts w:hint="default"/>
      </w:rPr>
    </w:lvl>
    <w:lvl w:ilvl="2" w:tentative="0">
      <w:start w:val="0"/>
      <w:numFmt w:val="bullet"/>
      <w:lvlText w:val="•"/>
      <w:lvlJc w:val="left"/>
      <w:pPr>
        <w:ind w:left="3005" w:hanging="601"/>
      </w:pPr>
      <w:rPr>
        <w:rFonts w:hint="default"/>
      </w:rPr>
    </w:lvl>
    <w:lvl w:ilvl="3" w:tentative="0">
      <w:start w:val="0"/>
      <w:numFmt w:val="bullet"/>
      <w:lvlText w:val="•"/>
      <w:lvlJc w:val="left"/>
      <w:pPr>
        <w:ind w:left="3857" w:hanging="601"/>
      </w:pPr>
      <w:rPr>
        <w:rFonts w:hint="default"/>
      </w:rPr>
    </w:lvl>
    <w:lvl w:ilvl="4" w:tentative="0">
      <w:start w:val="0"/>
      <w:numFmt w:val="bullet"/>
      <w:lvlText w:val="•"/>
      <w:lvlJc w:val="left"/>
      <w:pPr>
        <w:ind w:left="4710" w:hanging="601"/>
      </w:pPr>
      <w:rPr>
        <w:rFonts w:hint="default"/>
      </w:rPr>
    </w:lvl>
    <w:lvl w:ilvl="5" w:tentative="0">
      <w:start w:val="0"/>
      <w:numFmt w:val="bullet"/>
      <w:lvlText w:val="•"/>
      <w:lvlJc w:val="left"/>
      <w:pPr>
        <w:ind w:left="5563" w:hanging="601"/>
      </w:pPr>
      <w:rPr>
        <w:rFonts w:hint="default"/>
      </w:rPr>
    </w:lvl>
    <w:lvl w:ilvl="6" w:tentative="0">
      <w:start w:val="0"/>
      <w:numFmt w:val="bullet"/>
      <w:lvlText w:val="•"/>
      <w:lvlJc w:val="left"/>
      <w:pPr>
        <w:ind w:left="6415" w:hanging="601"/>
      </w:pPr>
      <w:rPr>
        <w:rFonts w:hint="default"/>
      </w:rPr>
    </w:lvl>
    <w:lvl w:ilvl="7" w:tentative="0">
      <w:start w:val="0"/>
      <w:numFmt w:val="bullet"/>
      <w:lvlText w:val="•"/>
      <w:lvlJc w:val="left"/>
      <w:pPr>
        <w:ind w:left="7268" w:hanging="601"/>
      </w:pPr>
      <w:rPr>
        <w:rFonts w:hint="default"/>
      </w:rPr>
    </w:lvl>
    <w:lvl w:ilvl="8" w:tentative="0">
      <w:start w:val="0"/>
      <w:numFmt w:val="bullet"/>
      <w:lvlText w:val="•"/>
      <w:lvlJc w:val="left"/>
      <w:pPr>
        <w:ind w:left="8120" w:hanging="601"/>
      </w:pPr>
      <w:rPr>
        <w:rFonts w:hint="default"/>
      </w:rPr>
    </w:lvl>
  </w:abstractNum>
  <w:abstractNum w:abstractNumId="14">
    <w:nsid w:val="BB64CFA9"/>
    <w:multiLevelType w:val="multilevel"/>
    <w:tmpl w:val="BB64CFA9"/>
    <w:lvl w:ilvl="0" w:tentative="0">
      <w:start w:val="1"/>
      <w:numFmt w:val="decimal"/>
      <w:lvlText w:val="（%1）"/>
      <w:lvlJc w:val="left"/>
      <w:pPr>
        <w:ind w:left="220" w:hanging="604"/>
        <w:jc w:val="left"/>
      </w:pPr>
      <w:rPr>
        <w:rFonts w:hint="default" w:ascii="宋体" w:hAnsi="宋体" w:eastAsia="宋体" w:cs="宋体"/>
        <w:w w:val="100"/>
        <w:sz w:val="22"/>
        <w:szCs w:val="22"/>
      </w:rPr>
    </w:lvl>
    <w:lvl w:ilvl="1" w:tentative="0">
      <w:start w:val="0"/>
      <w:numFmt w:val="bullet"/>
      <w:lvlText w:val="•"/>
      <w:lvlJc w:val="left"/>
      <w:pPr>
        <w:ind w:left="1180" w:hanging="604"/>
      </w:pPr>
      <w:rPr>
        <w:rFonts w:hint="default"/>
      </w:rPr>
    </w:lvl>
    <w:lvl w:ilvl="2" w:tentative="0">
      <w:start w:val="0"/>
      <w:numFmt w:val="bullet"/>
      <w:lvlText w:val="•"/>
      <w:lvlJc w:val="left"/>
      <w:pPr>
        <w:ind w:left="2141" w:hanging="604"/>
      </w:pPr>
      <w:rPr>
        <w:rFonts w:hint="default"/>
      </w:rPr>
    </w:lvl>
    <w:lvl w:ilvl="3" w:tentative="0">
      <w:start w:val="0"/>
      <w:numFmt w:val="bullet"/>
      <w:lvlText w:val="•"/>
      <w:lvlJc w:val="left"/>
      <w:pPr>
        <w:ind w:left="3101" w:hanging="604"/>
      </w:pPr>
      <w:rPr>
        <w:rFonts w:hint="default"/>
      </w:rPr>
    </w:lvl>
    <w:lvl w:ilvl="4" w:tentative="0">
      <w:start w:val="0"/>
      <w:numFmt w:val="bullet"/>
      <w:lvlText w:val="•"/>
      <w:lvlJc w:val="left"/>
      <w:pPr>
        <w:ind w:left="4062" w:hanging="604"/>
      </w:pPr>
      <w:rPr>
        <w:rFonts w:hint="default"/>
      </w:rPr>
    </w:lvl>
    <w:lvl w:ilvl="5" w:tentative="0">
      <w:start w:val="0"/>
      <w:numFmt w:val="bullet"/>
      <w:lvlText w:val="•"/>
      <w:lvlJc w:val="left"/>
      <w:pPr>
        <w:ind w:left="5023" w:hanging="604"/>
      </w:pPr>
      <w:rPr>
        <w:rFonts w:hint="default"/>
      </w:rPr>
    </w:lvl>
    <w:lvl w:ilvl="6" w:tentative="0">
      <w:start w:val="0"/>
      <w:numFmt w:val="bullet"/>
      <w:lvlText w:val="•"/>
      <w:lvlJc w:val="left"/>
      <w:pPr>
        <w:ind w:left="5983" w:hanging="604"/>
      </w:pPr>
      <w:rPr>
        <w:rFonts w:hint="default"/>
      </w:rPr>
    </w:lvl>
    <w:lvl w:ilvl="7" w:tentative="0">
      <w:start w:val="0"/>
      <w:numFmt w:val="bullet"/>
      <w:lvlText w:val="•"/>
      <w:lvlJc w:val="left"/>
      <w:pPr>
        <w:ind w:left="6944" w:hanging="604"/>
      </w:pPr>
      <w:rPr>
        <w:rFonts w:hint="default"/>
      </w:rPr>
    </w:lvl>
    <w:lvl w:ilvl="8" w:tentative="0">
      <w:start w:val="0"/>
      <w:numFmt w:val="bullet"/>
      <w:lvlText w:val="•"/>
      <w:lvlJc w:val="left"/>
      <w:pPr>
        <w:ind w:left="7904" w:hanging="604"/>
      </w:pPr>
      <w:rPr>
        <w:rFonts w:hint="default"/>
      </w:rPr>
    </w:lvl>
  </w:abstractNum>
  <w:abstractNum w:abstractNumId="15">
    <w:nsid w:val="BE923771"/>
    <w:multiLevelType w:val="multilevel"/>
    <w:tmpl w:val="BE923771"/>
    <w:lvl w:ilvl="0" w:tentative="0">
      <w:start w:val="1"/>
      <w:numFmt w:val="decimal"/>
      <w:lvlText w:val="（%1）"/>
      <w:lvlJc w:val="left"/>
      <w:pPr>
        <w:ind w:left="220" w:hanging="604"/>
        <w:jc w:val="left"/>
      </w:pPr>
      <w:rPr>
        <w:rFonts w:hint="default" w:ascii="宋体" w:hAnsi="宋体" w:eastAsia="宋体" w:cs="宋体"/>
        <w:w w:val="100"/>
        <w:sz w:val="22"/>
        <w:szCs w:val="22"/>
      </w:rPr>
    </w:lvl>
    <w:lvl w:ilvl="1" w:tentative="0">
      <w:start w:val="0"/>
      <w:numFmt w:val="bullet"/>
      <w:lvlText w:val="•"/>
      <w:lvlJc w:val="left"/>
      <w:pPr>
        <w:ind w:left="1180" w:hanging="604"/>
      </w:pPr>
      <w:rPr>
        <w:rFonts w:hint="default"/>
      </w:rPr>
    </w:lvl>
    <w:lvl w:ilvl="2" w:tentative="0">
      <w:start w:val="0"/>
      <w:numFmt w:val="bullet"/>
      <w:lvlText w:val="•"/>
      <w:lvlJc w:val="left"/>
      <w:pPr>
        <w:ind w:left="2141" w:hanging="604"/>
      </w:pPr>
      <w:rPr>
        <w:rFonts w:hint="default"/>
      </w:rPr>
    </w:lvl>
    <w:lvl w:ilvl="3" w:tentative="0">
      <w:start w:val="0"/>
      <w:numFmt w:val="bullet"/>
      <w:lvlText w:val="•"/>
      <w:lvlJc w:val="left"/>
      <w:pPr>
        <w:ind w:left="3101" w:hanging="604"/>
      </w:pPr>
      <w:rPr>
        <w:rFonts w:hint="default"/>
      </w:rPr>
    </w:lvl>
    <w:lvl w:ilvl="4" w:tentative="0">
      <w:start w:val="0"/>
      <w:numFmt w:val="bullet"/>
      <w:lvlText w:val="•"/>
      <w:lvlJc w:val="left"/>
      <w:pPr>
        <w:ind w:left="4062" w:hanging="604"/>
      </w:pPr>
      <w:rPr>
        <w:rFonts w:hint="default"/>
      </w:rPr>
    </w:lvl>
    <w:lvl w:ilvl="5" w:tentative="0">
      <w:start w:val="0"/>
      <w:numFmt w:val="bullet"/>
      <w:lvlText w:val="•"/>
      <w:lvlJc w:val="left"/>
      <w:pPr>
        <w:ind w:left="5023" w:hanging="604"/>
      </w:pPr>
      <w:rPr>
        <w:rFonts w:hint="default"/>
      </w:rPr>
    </w:lvl>
    <w:lvl w:ilvl="6" w:tentative="0">
      <w:start w:val="0"/>
      <w:numFmt w:val="bullet"/>
      <w:lvlText w:val="•"/>
      <w:lvlJc w:val="left"/>
      <w:pPr>
        <w:ind w:left="5983" w:hanging="604"/>
      </w:pPr>
      <w:rPr>
        <w:rFonts w:hint="default"/>
      </w:rPr>
    </w:lvl>
    <w:lvl w:ilvl="7" w:tentative="0">
      <w:start w:val="0"/>
      <w:numFmt w:val="bullet"/>
      <w:lvlText w:val="•"/>
      <w:lvlJc w:val="left"/>
      <w:pPr>
        <w:ind w:left="6944" w:hanging="604"/>
      </w:pPr>
      <w:rPr>
        <w:rFonts w:hint="default"/>
      </w:rPr>
    </w:lvl>
    <w:lvl w:ilvl="8" w:tentative="0">
      <w:start w:val="0"/>
      <w:numFmt w:val="bullet"/>
      <w:lvlText w:val="•"/>
      <w:lvlJc w:val="left"/>
      <w:pPr>
        <w:ind w:left="7904" w:hanging="604"/>
      </w:pPr>
      <w:rPr>
        <w:rFonts w:hint="default"/>
      </w:rPr>
    </w:lvl>
  </w:abstractNum>
  <w:abstractNum w:abstractNumId="16">
    <w:nsid w:val="BF205925"/>
    <w:multiLevelType w:val="multilevel"/>
    <w:tmpl w:val="BF205925"/>
    <w:lvl w:ilvl="0" w:tentative="0">
      <w:start w:val="10"/>
      <w:numFmt w:val="decimal"/>
      <w:lvlText w:val="%1"/>
      <w:lvlJc w:val="left"/>
      <w:pPr>
        <w:ind w:left="1240" w:hanging="540"/>
        <w:jc w:val="left"/>
      </w:pPr>
      <w:rPr>
        <w:rFonts w:hint="default"/>
      </w:rPr>
    </w:lvl>
    <w:lvl w:ilvl="1" w:tentative="0">
      <w:start w:val="1"/>
      <w:numFmt w:val="decimal"/>
      <w:lvlText w:val="%1.%2"/>
      <w:lvlJc w:val="left"/>
      <w:pPr>
        <w:ind w:left="1240" w:hanging="540"/>
        <w:jc w:val="left"/>
      </w:pPr>
      <w:rPr>
        <w:rFonts w:hint="default" w:ascii="宋体" w:hAnsi="宋体" w:eastAsia="宋体" w:cs="宋体"/>
        <w:w w:val="100"/>
        <w:sz w:val="24"/>
        <w:szCs w:val="24"/>
      </w:rPr>
    </w:lvl>
    <w:lvl w:ilvl="2" w:tentative="0">
      <w:start w:val="0"/>
      <w:numFmt w:val="bullet"/>
      <w:lvlText w:val="•"/>
      <w:lvlJc w:val="left"/>
      <w:pPr>
        <w:ind w:left="2957" w:hanging="540"/>
      </w:pPr>
      <w:rPr>
        <w:rFonts w:hint="default"/>
      </w:rPr>
    </w:lvl>
    <w:lvl w:ilvl="3" w:tentative="0">
      <w:start w:val="0"/>
      <w:numFmt w:val="bullet"/>
      <w:lvlText w:val="•"/>
      <w:lvlJc w:val="left"/>
      <w:pPr>
        <w:ind w:left="3815" w:hanging="540"/>
      </w:pPr>
      <w:rPr>
        <w:rFonts w:hint="default"/>
      </w:rPr>
    </w:lvl>
    <w:lvl w:ilvl="4" w:tentative="0">
      <w:start w:val="0"/>
      <w:numFmt w:val="bullet"/>
      <w:lvlText w:val="•"/>
      <w:lvlJc w:val="left"/>
      <w:pPr>
        <w:ind w:left="4674" w:hanging="540"/>
      </w:pPr>
      <w:rPr>
        <w:rFonts w:hint="default"/>
      </w:rPr>
    </w:lvl>
    <w:lvl w:ilvl="5" w:tentative="0">
      <w:start w:val="0"/>
      <w:numFmt w:val="bullet"/>
      <w:lvlText w:val="•"/>
      <w:lvlJc w:val="left"/>
      <w:pPr>
        <w:ind w:left="5533" w:hanging="540"/>
      </w:pPr>
      <w:rPr>
        <w:rFonts w:hint="default"/>
      </w:rPr>
    </w:lvl>
    <w:lvl w:ilvl="6" w:tentative="0">
      <w:start w:val="0"/>
      <w:numFmt w:val="bullet"/>
      <w:lvlText w:val="•"/>
      <w:lvlJc w:val="left"/>
      <w:pPr>
        <w:ind w:left="6391" w:hanging="540"/>
      </w:pPr>
      <w:rPr>
        <w:rFonts w:hint="default"/>
      </w:rPr>
    </w:lvl>
    <w:lvl w:ilvl="7" w:tentative="0">
      <w:start w:val="0"/>
      <w:numFmt w:val="bullet"/>
      <w:lvlText w:val="•"/>
      <w:lvlJc w:val="left"/>
      <w:pPr>
        <w:ind w:left="7250" w:hanging="540"/>
      </w:pPr>
      <w:rPr>
        <w:rFonts w:hint="default"/>
      </w:rPr>
    </w:lvl>
    <w:lvl w:ilvl="8" w:tentative="0">
      <w:start w:val="0"/>
      <w:numFmt w:val="bullet"/>
      <w:lvlText w:val="•"/>
      <w:lvlJc w:val="left"/>
      <w:pPr>
        <w:ind w:left="8108" w:hanging="540"/>
      </w:pPr>
      <w:rPr>
        <w:rFonts w:hint="default"/>
      </w:rPr>
    </w:lvl>
  </w:abstractNum>
  <w:abstractNum w:abstractNumId="17">
    <w:nsid w:val="C8879AEF"/>
    <w:multiLevelType w:val="multilevel"/>
    <w:tmpl w:val="C8879AEF"/>
    <w:lvl w:ilvl="0" w:tentative="0">
      <w:start w:val="5"/>
      <w:numFmt w:val="decimal"/>
      <w:lvlText w:val="%1"/>
      <w:lvlJc w:val="left"/>
      <w:pPr>
        <w:ind w:left="1062" w:hanging="363"/>
        <w:jc w:val="left"/>
      </w:pPr>
      <w:rPr>
        <w:rFonts w:hint="default"/>
      </w:rPr>
    </w:lvl>
    <w:lvl w:ilvl="1" w:tentative="0">
      <w:start w:val="1"/>
      <w:numFmt w:val="decimal"/>
      <w:lvlText w:val="%1.%2"/>
      <w:lvlJc w:val="left"/>
      <w:pPr>
        <w:ind w:left="1062" w:hanging="363"/>
        <w:jc w:val="left"/>
      </w:pPr>
      <w:rPr>
        <w:rFonts w:hint="default" w:ascii="Calibri" w:hAnsi="Calibri" w:eastAsia="Calibri" w:cs="Calibri"/>
        <w:spacing w:val="-1"/>
        <w:w w:val="100"/>
        <w:sz w:val="24"/>
        <w:szCs w:val="24"/>
      </w:rPr>
    </w:lvl>
    <w:lvl w:ilvl="2" w:tentative="0">
      <w:start w:val="0"/>
      <w:numFmt w:val="bullet"/>
      <w:lvlText w:val="•"/>
      <w:lvlJc w:val="left"/>
      <w:pPr>
        <w:ind w:left="2813" w:hanging="363"/>
      </w:pPr>
      <w:rPr>
        <w:rFonts w:hint="default"/>
      </w:rPr>
    </w:lvl>
    <w:lvl w:ilvl="3" w:tentative="0">
      <w:start w:val="0"/>
      <w:numFmt w:val="bullet"/>
      <w:lvlText w:val="•"/>
      <w:lvlJc w:val="left"/>
      <w:pPr>
        <w:ind w:left="3689" w:hanging="363"/>
      </w:pPr>
      <w:rPr>
        <w:rFonts w:hint="default"/>
      </w:rPr>
    </w:lvl>
    <w:lvl w:ilvl="4" w:tentative="0">
      <w:start w:val="0"/>
      <w:numFmt w:val="bullet"/>
      <w:lvlText w:val="•"/>
      <w:lvlJc w:val="left"/>
      <w:pPr>
        <w:ind w:left="4566" w:hanging="363"/>
      </w:pPr>
      <w:rPr>
        <w:rFonts w:hint="default"/>
      </w:rPr>
    </w:lvl>
    <w:lvl w:ilvl="5" w:tentative="0">
      <w:start w:val="0"/>
      <w:numFmt w:val="bullet"/>
      <w:lvlText w:val="•"/>
      <w:lvlJc w:val="left"/>
      <w:pPr>
        <w:ind w:left="5443" w:hanging="363"/>
      </w:pPr>
      <w:rPr>
        <w:rFonts w:hint="default"/>
      </w:rPr>
    </w:lvl>
    <w:lvl w:ilvl="6" w:tentative="0">
      <w:start w:val="0"/>
      <w:numFmt w:val="bullet"/>
      <w:lvlText w:val="•"/>
      <w:lvlJc w:val="left"/>
      <w:pPr>
        <w:ind w:left="6319" w:hanging="363"/>
      </w:pPr>
      <w:rPr>
        <w:rFonts w:hint="default"/>
      </w:rPr>
    </w:lvl>
    <w:lvl w:ilvl="7" w:tentative="0">
      <w:start w:val="0"/>
      <w:numFmt w:val="bullet"/>
      <w:lvlText w:val="•"/>
      <w:lvlJc w:val="left"/>
      <w:pPr>
        <w:ind w:left="7196" w:hanging="363"/>
      </w:pPr>
      <w:rPr>
        <w:rFonts w:hint="default"/>
      </w:rPr>
    </w:lvl>
    <w:lvl w:ilvl="8" w:tentative="0">
      <w:start w:val="0"/>
      <w:numFmt w:val="bullet"/>
      <w:lvlText w:val="•"/>
      <w:lvlJc w:val="left"/>
      <w:pPr>
        <w:ind w:left="8072" w:hanging="363"/>
      </w:pPr>
      <w:rPr>
        <w:rFonts w:hint="default"/>
      </w:rPr>
    </w:lvl>
  </w:abstractNum>
  <w:abstractNum w:abstractNumId="18">
    <w:nsid w:val="C9412743"/>
    <w:multiLevelType w:val="multilevel"/>
    <w:tmpl w:val="C9412743"/>
    <w:lvl w:ilvl="0" w:tentative="0">
      <w:start w:val="1"/>
      <w:numFmt w:val="decimal"/>
      <w:lvlText w:val="%1"/>
      <w:lvlJc w:val="left"/>
      <w:pPr>
        <w:ind w:left="220" w:hanging="306"/>
        <w:jc w:val="left"/>
      </w:pPr>
      <w:rPr>
        <w:rFonts w:hint="default"/>
      </w:rPr>
    </w:lvl>
    <w:lvl w:ilvl="1" w:tentative="0">
      <w:start w:val="1"/>
      <w:numFmt w:val="decimal"/>
      <w:lvlText w:val="%1.%2"/>
      <w:lvlJc w:val="left"/>
      <w:pPr>
        <w:ind w:left="220" w:hanging="306"/>
        <w:jc w:val="left"/>
      </w:pPr>
      <w:rPr>
        <w:rFonts w:hint="default" w:ascii="Calibri" w:hAnsi="Calibri" w:eastAsia="Calibri" w:cs="Calibri"/>
        <w:spacing w:val="-1"/>
        <w:w w:val="100"/>
        <w:sz w:val="22"/>
        <w:szCs w:val="22"/>
      </w:rPr>
    </w:lvl>
    <w:lvl w:ilvl="2" w:tentative="0">
      <w:start w:val="0"/>
      <w:numFmt w:val="bullet"/>
      <w:lvlText w:val="•"/>
      <w:lvlJc w:val="left"/>
      <w:pPr>
        <w:ind w:left="2141" w:hanging="306"/>
      </w:pPr>
      <w:rPr>
        <w:rFonts w:hint="default"/>
      </w:rPr>
    </w:lvl>
    <w:lvl w:ilvl="3" w:tentative="0">
      <w:start w:val="0"/>
      <w:numFmt w:val="bullet"/>
      <w:lvlText w:val="•"/>
      <w:lvlJc w:val="left"/>
      <w:pPr>
        <w:ind w:left="3101" w:hanging="306"/>
      </w:pPr>
      <w:rPr>
        <w:rFonts w:hint="default"/>
      </w:rPr>
    </w:lvl>
    <w:lvl w:ilvl="4" w:tentative="0">
      <w:start w:val="0"/>
      <w:numFmt w:val="bullet"/>
      <w:lvlText w:val="•"/>
      <w:lvlJc w:val="left"/>
      <w:pPr>
        <w:ind w:left="4062" w:hanging="306"/>
      </w:pPr>
      <w:rPr>
        <w:rFonts w:hint="default"/>
      </w:rPr>
    </w:lvl>
    <w:lvl w:ilvl="5" w:tentative="0">
      <w:start w:val="0"/>
      <w:numFmt w:val="bullet"/>
      <w:lvlText w:val="•"/>
      <w:lvlJc w:val="left"/>
      <w:pPr>
        <w:ind w:left="5023" w:hanging="306"/>
      </w:pPr>
      <w:rPr>
        <w:rFonts w:hint="default"/>
      </w:rPr>
    </w:lvl>
    <w:lvl w:ilvl="6" w:tentative="0">
      <w:start w:val="0"/>
      <w:numFmt w:val="bullet"/>
      <w:lvlText w:val="•"/>
      <w:lvlJc w:val="left"/>
      <w:pPr>
        <w:ind w:left="5983" w:hanging="306"/>
      </w:pPr>
      <w:rPr>
        <w:rFonts w:hint="default"/>
      </w:rPr>
    </w:lvl>
    <w:lvl w:ilvl="7" w:tentative="0">
      <w:start w:val="0"/>
      <w:numFmt w:val="bullet"/>
      <w:lvlText w:val="•"/>
      <w:lvlJc w:val="left"/>
      <w:pPr>
        <w:ind w:left="6944" w:hanging="306"/>
      </w:pPr>
      <w:rPr>
        <w:rFonts w:hint="default"/>
      </w:rPr>
    </w:lvl>
    <w:lvl w:ilvl="8" w:tentative="0">
      <w:start w:val="0"/>
      <w:numFmt w:val="bullet"/>
      <w:lvlText w:val="•"/>
      <w:lvlJc w:val="left"/>
      <w:pPr>
        <w:ind w:left="7904" w:hanging="306"/>
      </w:pPr>
      <w:rPr>
        <w:rFonts w:hint="default"/>
      </w:rPr>
    </w:lvl>
  </w:abstractNum>
  <w:abstractNum w:abstractNumId="19">
    <w:nsid w:val="CF092B84"/>
    <w:multiLevelType w:val="multilevel"/>
    <w:tmpl w:val="CF092B84"/>
    <w:lvl w:ilvl="0" w:tentative="0">
      <w:start w:val="7"/>
      <w:numFmt w:val="decimal"/>
      <w:lvlText w:val="%1"/>
      <w:lvlJc w:val="left"/>
      <w:pPr>
        <w:ind w:left="1120" w:hanging="420"/>
        <w:jc w:val="left"/>
      </w:pPr>
      <w:rPr>
        <w:rFonts w:hint="default"/>
      </w:rPr>
    </w:lvl>
    <w:lvl w:ilvl="1" w:tentative="0">
      <w:start w:val="1"/>
      <w:numFmt w:val="decimal"/>
      <w:lvlText w:val="%1.%2"/>
      <w:lvlJc w:val="left"/>
      <w:pPr>
        <w:ind w:left="1120" w:hanging="420"/>
        <w:jc w:val="left"/>
      </w:pPr>
      <w:rPr>
        <w:rFonts w:hint="default" w:ascii="宋体" w:hAnsi="宋体" w:eastAsia="宋体" w:cs="宋体"/>
        <w:w w:val="100"/>
        <w:sz w:val="24"/>
        <w:szCs w:val="24"/>
      </w:rPr>
    </w:lvl>
    <w:lvl w:ilvl="2" w:tentative="0">
      <w:start w:val="0"/>
      <w:numFmt w:val="bullet"/>
      <w:lvlText w:val="•"/>
      <w:lvlJc w:val="left"/>
      <w:pPr>
        <w:ind w:left="2861" w:hanging="420"/>
      </w:pPr>
      <w:rPr>
        <w:rFonts w:hint="default"/>
      </w:rPr>
    </w:lvl>
    <w:lvl w:ilvl="3" w:tentative="0">
      <w:start w:val="0"/>
      <w:numFmt w:val="bullet"/>
      <w:lvlText w:val="•"/>
      <w:lvlJc w:val="left"/>
      <w:pPr>
        <w:ind w:left="3731" w:hanging="420"/>
      </w:pPr>
      <w:rPr>
        <w:rFonts w:hint="default"/>
      </w:rPr>
    </w:lvl>
    <w:lvl w:ilvl="4" w:tentative="0">
      <w:start w:val="0"/>
      <w:numFmt w:val="bullet"/>
      <w:lvlText w:val="•"/>
      <w:lvlJc w:val="left"/>
      <w:pPr>
        <w:ind w:left="4602" w:hanging="420"/>
      </w:pPr>
      <w:rPr>
        <w:rFonts w:hint="default"/>
      </w:rPr>
    </w:lvl>
    <w:lvl w:ilvl="5" w:tentative="0">
      <w:start w:val="0"/>
      <w:numFmt w:val="bullet"/>
      <w:lvlText w:val="•"/>
      <w:lvlJc w:val="left"/>
      <w:pPr>
        <w:ind w:left="5473" w:hanging="420"/>
      </w:pPr>
      <w:rPr>
        <w:rFonts w:hint="default"/>
      </w:rPr>
    </w:lvl>
    <w:lvl w:ilvl="6" w:tentative="0">
      <w:start w:val="0"/>
      <w:numFmt w:val="bullet"/>
      <w:lvlText w:val="•"/>
      <w:lvlJc w:val="left"/>
      <w:pPr>
        <w:ind w:left="6343" w:hanging="420"/>
      </w:pPr>
      <w:rPr>
        <w:rFonts w:hint="default"/>
      </w:rPr>
    </w:lvl>
    <w:lvl w:ilvl="7" w:tentative="0">
      <w:start w:val="0"/>
      <w:numFmt w:val="bullet"/>
      <w:lvlText w:val="•"/>
      <w:lvlJc w:val="left"/>
      <w:pPr>
        <w:ind w:left="7214" w:hanging="420"/>
      </w:pPr>
      <w:rPr>
        <w:rFonts w:hint="default"/>
      </w:rPr>
    </w:lvl>
    <w:lvl w:ilvl="8" w:tentative="0">
      <w:start w:val="0"/>
      <w:numFmt w:val="bullet"/>
      <w:lvlText w:val="•"/>
      <w:lvlJc w:val="left"/>
      <w:pPr>
        <w:ind w:left="8084" w:hanging="420"/>
      </w:pPr>
      <w:rPr>
        <w:rFonts w:hint="default"/>
      </w:rPr>
    </w:lvl>
  </w:abstractNum>
  <w:abstractNum w:abstractNumId="20">
    <w:nsid w:val="D7936317"/>
    <w:multiLevelType w:val="multilevel"/>
    <w:tmpl w:val="D7936317"/>
    <w:lvl w:ilvl="0" w:tentative="0">
      <w:start w:val="1"/>
      <w:numFmt w:val="decimal"/>
      <w:lvlText w:val="%1"/>
      <w:lvlJc w:val="left"/>
      <w:pPr>
        <w:ind w:left="1062" w:hanging="363"/>
        <w:jc w:val="left"/>
      </w:pPr>
      <w:rPr>
        <w:rFonts w:hint="default"/>
      </w:rPr>
    </w:lvl>
    <w:lvl w:ilvl="1" w:tentative="0">
      <w:start w:val="1"/>
      <w:numFmt w:val="decimal"/>
      <w:lvlText w:val="%1.%2"/>
      <w:lvlJc w:val="left"/>
      <w:pPr>
        <w:ind w:left="1062" w:hanging="363"/>
        <w:jc w:val="left"/>
      </w:pPr>
      <w:rPr>
        <w:rFonts w:hint="default" w:ascii="Calibri" w:hAnsi="Calibri" w:eastAsia="Calibri" w:cs="Calibri"/>
        <w:spacing w:val="-1"/>
        <w:w w:val="100"/>
        <w:sz w:val="24"/>
        <w:szCs w:val="24"/>
      </w:rPr>
    </w:lvl>
    <w:lvl w:ilvl="2" w:tentative="0">
      <w:start w:val="0"/>
      <w:numFmt w:val="bullet"/>
      <w:lvlText w:val="•"/>
      <w:lvlJc w:val="left"/>
      <w:pPr>
        <w:ind w:left="2813" w:hanging="363"/>
      </w:pPr>
      <w:rPr>
        <w:rFonts w:hint="default"/>
      </w:rPr>
    </w:lvl>
    <w:lvl w:ilvl="3" w:tentative="0">
      <w:start w:val="0"/>
      <w:numFmt w:val="bullet"/>
      <w:lvlText w:val="•"/>
      <w:lvlJc w:val="left"/>
      <w:pPr>
        <w:ind w:left="3689" w:hanging="363"/>
      </w:pPr>
      <w:rPr>
        <w:rFonts w:hint="default"/>
      </w:rPr>
    </w:lvl>
    <w:lvl w:ilvl="4" w:tentative="0">
      <w:start w:val="0"/>
      <w:numFmt w:val="bullet"/>
      <w:lvlText w:val="•"/>
      <w:lvlJc w:val="left"/>
      <w:pPr>
        <w:ind w:left="4566" w:hanging="363"/>
      </w:pPr>
      <w:rPr>
        <w:rFonts w:hint="default"/>
      </w:rPr>
    </w:lvl>
    <w:lvl w:ilvl="5" w:tentative="0">
      <w:start w:val="0"/>
      <w:numFmt w:val="bullet"/>
      <w:lvlText w:val="•"/>
      <w:lvlJc w:val="left"/>
      <w:pPr>
        <w:ind w:left="5443" w:hanging="363"/>
      </w:pPr>
      <w:rPr>
        <w:rFonts w:hint="default"/>
      </w:rPr>
    </w:lvl>
    <w:lvl w:ilvl="6" w:tentative="0">
      <w:start w:val="0"/>
      <w:numFmt w:val="bullet"/>
      <w:lvlText w:val="•"/>
      <w:lvlJc w:val="left"/>
      <w:pPr>
        <w:ind w:left="6319" w:hanging="363"/>
      </w:pPr>
      <w:rPr>
        <w:rFonts w:hint="default"/>
      </w:rPr>
    </w:lvl>
    <w:lvl w:ilvl="7" w:tentative="0">
      <w:start w:val="0"/>
      <w:numFmt w:val="bullet"/>
      <w:lvlText w:val="•"/>
      <w:lvlJc w:val="left"/>
      <w:pPr>
        <w:ind w:left="7196" w:hanging="363"/>
      </w:pPr>
      <w:rPr>
        <w:rFonts w:hint="default"/>
      </w:rPr>
    </w:lvl>
    <w:lvl w:ilvl="8" w:tentative="0">
      <w:start w:val="0"/>
      <w:numFmt w:val="bullet"/>
      <w:lvlText w:val="•"/>
      <w:lvlJc w:val="left"/>
      <w:pPr>
        <w:ind w:left="8072" w:hanging="363"/>
      </w:pPr>
      <w:rPr>
        <w:rFonts w:hint="default"/>
      </w:rPr>
    </w:lvl>
  </w:abstractNum>
  <w:abstractNum w:abstractNumId="21">
    <w:nsid w:val="D7D140E4"/>
    <w:multiLevelType w:val="multilevel"/>
    <w:tmpl w:val="D7D140E4"/>
    <w:lvl w:ilvl="0" w:tentative="0">
      <w:start w:val="1"/>
      <w:numFmt w:val="decimal"/>
      <w:lvlText w:val="（%1）"/>
      <w:lvlJc w:val="left"/>
      <w:pPr>
        <w:ind w:left="220" w:hanging="604"/>
        <w:jc w:val="left"/>
      </w:pPr>
      <w:rPr>
        <w:rFonts w:hint="default" w:ascii="宋体" w:hAnsi="宋体" w:eastAsia="宋体" w:cs="宋体"/>
        <w:w w:val="100"/>
        <w:sz w:val="22"/>
        <w:szCs w:val="22"/>
      </w:rPr>
    </w:lvl>
    <w:lvl w:ilvl="1" w:tentative="0">
      <w:start w:val="0"/>
      <w:numFmt w:val="bullet"/>
      <w:lvlText w:val="•"/>
      <w:lvlJc w:val="left"/>
      <w:pPr>
        <w:ind w:left="1180" w:hanging="604"/>
      </w:pPr>
      <w:rPr>
        <w:rFonts w:hint="default"/>
      </w:rPr>
    </w:lvl>
    <w:lvl w:ilvl="2" w:tentative="0">
      <w:start w:val="0"/>
      <w:numFmt w:val="bullet"/>
      <w:lvlText w:val="•"/>
      <w:lvlJc w:val="left"/>
      <w:pPr>
        <w:ind w:left="2141" w:hanging="604"/>
      </w:pPr>
      <w:rPr>
        <w:rFonts w:hint="default"/>
      </w:rPr>
    </w:lvl>
    <w:lvl w:ilvl="3" w:tentative="0">
      <w:start w:val="0"/>
      <w:numFmt w:val="bullet"/>
      <w:lvlText w:val="•"/>
      <w:lvlJc w:val="left"/>
      <w:pPr>
        <w:ind w:left="3101" w:hanging="604"/>
      </w:pPr>
      <w:rPr>
        <w:rFonts w:hint="default"/>
      </w:rPr>
    </w:lvl>
    <w:lvl w:ilvl="4" w:tentative="0">
      <w:start w:val="0"/>
      <w:numFmt w:val="bullet"/>
      <w:lvlText w:val="•"/>
      <w:lvlJc w:val="left"/>
      <w:pPr>
        <w:ind w:left="4062" w:hanging="604"/>
      </w:pPr>
      <w:rPr>
        <w:rFonts w:hint="default"/>
      </w:rPr>
    </w:lvl>
    <w:lvl w:ilvl="5" w:tentative="0">
      <w:start w:val="0"/>
      <w:numFmt w:val="bullet"/>
      <w:lvlText w:val="•"/>
      <w:lvlJc w:val="left"/>
      <w:pPr>
        <w:ind w:left="5023" w:hanging="604"/>
      </w:pPr>
      <w:rPr>
        <w:rFonts w:hint="default"/>
      </w:rPr>
    </w:lvl>
    <w:lvl w:ilvl="6" w:tentative="0">
      <w:start w:val="0"/>
      <w:numFmt w:val="bullet"/>
      <w:lvlText w:val="•"/>
      <w:lvlJc w:val="left"/>
      <w:pPr>
        <w:ind w:left="5983" w:hanging="604"/>
      </w:pPr>
      <w:rPr>
        <w:rFonts w:hint="default"/>
      </w:rPr>
    </w:lvl>
    <w:lvl w:ilvl="7" w:tentative="0">
      <w:start w:val="0"/>
      <w:numFmt w:val="bullet"/>
      <w:lvlText w:val="•"/>
      <w:lvlJc w:val="left"/>
      <w:pPr>
        <w:ind w:left="6944" w:hanging="604"/>
      </w:pPr>
      <w:rPr>
        <w:rFonts w:hint="default"/>
      </w:rPr>
    </w:lvl>
    <w:lvl w:ilvl="8" w:tentative="0">
      <w:start w:val="0"/>
      <w:numFmt w:val="bullet"/>
      <w:lvlText w:val="•"/>
      <w:lvlJc w:val="left"/>
      <w:pPr>
        <w:ind w:left="7904" w:hanging="604"/>
      </w:pPr>
      <w:rPr>
        <w:rFonts w:hint="default"/>
      </w:rPr>
    </w:lvl>
  </w:abstractNum>
  <w:abstractNum w:abstractNumId="22">
    <w:nsid w:val="D7F9FE59"/>
    <w:multiLevelType w:val="multilevel"/>
    <w:tmpl w:val="D7F9FE59"/>
    <w:lvl w:ilvl="0" w:tentative="0">
      <w:start w:val="9"/>
      <w:numFmt w:val="decimal"/>
      <w:lvlText w:val="%1"/>
      <w:lvlJc w:val="left"/>
      <w:pPr>
        <w:ind w:left="1062" w:hanging="363"/>
        <w:jc w:val="left"/>
      </w:pPr>
      <w:rPr>
        <w:rFonts w:hint="default"/>
      </w:rPr>
    </w:lvl>
    <w:lvl w:ilvl="1" w:tentative="0">
      <w:start w:val="1"/>
      <w:numFmt w:val="decimal"/>
      <w:lvlText w:val="%1.%2"/>
      <w:lvlJc w:val="left"/>
      <w:pPr>
        <w:ind w:left="1062" w:hanging="363"/>
        <w:jc w:val="left"/>
      </w:pPr>
      <w:rPr>
        <w:rFonts w:hint="default" w:ascii="Calibri" w:hAnsi="Calibri" w:eastAsia="Calibri" w:cs="Calibri"/>
        <w:spacing w:val="-1"/>
        <w:w w:val="100"/>
        <w:sz w:val="24"/>
        <w:szCs w:val="24"/>
      </w:rPr>
    </w:lvl>
    <w:lvl w:ilvl="2" w:tentative="0">
      <w:start w:val="0"/>
      <w:numFmt w:val="bullet"/>
      <w:lvlText w:val="•"/>
      <w:lvlJc w:val="left"/>
      <w:pPr>
        <w:ind w:left="2813" w:hanging="363"/>
      </w:pPr>
      <w:rPr>
        <w:rFonts w:hint="default"/>
      </w:rPr>
    </w:lvl>
    <w:lvl w:ilvl="3" w:tentative="0">
      <w:start w:val="0"/>
      <w:numFmt w:val="bullet"/>
      <w:lvlText w:val="•"/>
      <w:lvlJc w:val="left"/>
      <w:pPr>
        <w:ind w:left="3689" w:hanging="363"/>
      </w:pPr>
      <w:rPr>
        <w:rFonts w:hint="default"/>
      </w:rPr>
    </w:lvl>
    <w:lvl w:ilvl="4" w:tentative="0">
      <w:start w:val="0"/>
      <w:numFmt w:val="bullet"/>
      <w:lvlText w:val="•"/>
      <w:lvlJc w:val="left"/>
      <w:pPr>
        <w:ind w:left="4566" w:hanging="363"/>
      </w:pPr>
      <w:rPr>
        <w:rFonts w:hint="default"/>
      </w:rPr>
    </w:lvl>
    <w:lvl w:ilvl="5" w:tentative="0">
      <w:start w:val="0"/>
      <w:numFmt w:val="bullet"/>
      <w:lvlText w:val="•"/>
      <w:lvlJc w:val="left"/>
      <w:pPr>
        <w:ind w:left="5443" w:hanging="363"/>
      </w:pPr>
      <w:rPr>
        <w:rFonts w:hint="default"/>
      </w:rPr>
    </w:lvl>
    <w:lvl w:ilvl="6" w:tentative="0">
      <w:start w:val="0"/>
      <w:numFmt w:val="bullet"/>
      <w:lvlText w:val="•"/>
      <w:lvlJc w:val="left"/>
      <w:pPr>
        <w:ind w:left="6319" w:hanging="363"/>
      </w:pPr>
      <w:rPr>
        <w:rFonts w:hint="default"/>
      </w:rPr>
    </w:lvl>
    <w:lvl w:ilvl="7" w:tentative="0">
      <w:start w:val="0"/>
      <w:numFmt w:val="bullet"/>
      <w:lvlText w:val="•"/>
      <w:lvlJc w:val="left"/>
      <w:pPr>
        <w:ind w:left="7196" w:hanging="363"/>
      </w:pPr>
      <w:rPr>
        <w:rFonts w:hint="default"/>
      </w:rPr>
    </w:lvl>
    <w:lvl w:ilvl="8" w:tentative="0">
      <w:start w:val="0"/>
      <w:numFmt w:val="bullet"/>
      <w:lvlText w:val="•"/>
      <w:lvlJc w:val="left"/>
      <w:pPr>
        <w:ind w:left="8072" w:hanging="363"/>
      </w:pPr>
      <w:rPr>
        <w:rFonts w:hint="default"/>
      </w:rPr>
    </w:lvl>
  </w:abstractNum>
  <w:abstractNum w:abstractNumId="23">
    <w:nsid w:val="DCBA6B53"/>
    <w:multiLevelType w:val="multilevel"/>
    <w:tmpl w:val="DCBA6B53"/>
    <w:lvl w:ilvl="0" w:tentative="0">
      <w:start w:val="8"/>
      <w:numFmt w:val="decimal"/>
      <w:lvlText w:val="%1"/>
      <w:lvlJc w:val="left"/>
      <w:pPr>
        <w:ind w:left="220" w:hanging="365"/>
        <w:jc w:val="left"/>
      </w:pPr>
      <w:rPr>
        <w:rFonts w:hint="default"/>
      </w:rPr>
    </w:lvl>
    <w:lvl w:ilvl="1" w:tentative="0">
      <w:start w:val="1"/>
      <w:numFmt w:val="decimal"/>
      <w:lvlText w:val="%1.%2"/>
      <w:lvlJc w:val="left"/>
      <w:pPr>
        <w:ind w:left="220" w:hanging="365"/>
        <w:jc w:val="left"/>
      </w:pPr>
      <w:rPr>
        <w:rFonts w:hint="default" w:ascii="Calibri" w:hAnsi="Calibri" w:eastAsia="Calibri" w:cs="Calibri"/>
        <w:spacing w:val="-1"/>
        <w:w w:val="100"/>
        <w:sz w:val="24"/>
        <w:szCs w:val="24"/>
      </w:rPr>
    </w:lvl>
    <w:lvl w:ilvl="2" w:tentative="0">
      <w:start w:val="0"/>
      <w:numFmt w:val="bullet"/>
      <w:lvlText w:val="•"/>
      <w:lvlJc w:val="left"/>
      <w:pPr>
        <w:ind w:left="2141" w:hanging="365"/>
      </w:pPr>
      <w:rPr>
        <w:rFonts w:hint="default"/>
      </w:rPr>
    </w:lvl>
    <w:lvl w:ilvl="3" w:tentative="0">
      <w:start w:val="0"/>
      <w:numFmt w:val="bullet"/>
      <w:lvlText w:val="•"/>
      <w:lvlJc w:val="left"/>
      <w:pPr>
        <w:ind w:left="3101" w:hanging="365"/>
      </w:pPr>
      <w:rPr>
        <w:rFonts w:hint="default"/>
      </w:rPr>
    </w:lvl>
    <w:lvl w:ilvl="4" w:tentative="0">
      <w:start w:val="0"/>
      <w:numFmt w:val="bullet"/>
      <w:lvlText w:val="•"/>
      <w:lvlJc w:val="left"/>
      <w:pPr>
        <w:ind w:left="4062" w:hanging="365"/>
      </w:pPr>
      <w:rPr>
        <w:rFonts w:hint="default"/>
      </w:rPr>
    </w:lvl>
    <w:lvl w:ilvl="5" w:tentative="0">
      <w:start w:val="0"/>
      <w:numFmt w:val="bullet"/>
      <w:lvlText w:val="•"/>
      <w:lvlJc w:val="left"/>
      <w:pPr>
        <w:ind w:left="5023" w:hanging="365"/>
      </w:pPr>
      <w:rPr>
        <w:rFonts w:hint="default"/>
      </w:rPr>
    </w:lvl>
    <w:lvl w:ilvl="6" w:tentative="0">
      <w:start w:val="0"/>
      <w:numFmt w:val="bullet"/>
      <w:lvlText w:val="•"/>
      <w:lvlJc w:val="left"/>
      <w:pPr>
        <w:ind w:left="5983" w:hanging="365"/>
      </w:pPr>
      <w:rPr>
        <w:rFonts w:hint="default"/>
      </w:rPr>
    </w:lvl>
    <w:lvl w:ilvl="7" w:tentative="0">
      <w:start w:val="0"/>
      <w:numFmt w:val="bullet"/>
      <w:lvlText w:val="•"/>
      <w:lvlJc w:val="left"/>
      <w:pPr>
        <w:ind w:left="6944" w:hanging="365"/>
      </w:pPr>
      <w:rPr>
        <w:rFonts w:hint="default"/>
      </w:rPr>
    </w:lvl>
    <w:lvl w:ilvl="8" w:tentative="0">
      <w:start w:val="0"/>
      <w:numFmt w:val="bullet"/>
      <w:lvlText w:val="•"/>
      <w:lvlJc w:val="left"/>
      <w:pPr>
        <w:ind w:left="7904" w:hanging="365"/>
      </w:pPr>
      <w:rPr>
        <w:rFonts w:hint="default"/>
      </w:rPr>
    </w:lvl>
  </w:abstractNum>
  <w:abstractNum w:abstractNumId="24">
    <w:nsid w:val="E093A4B0"/>
    <w:multiLevelType w:val="multilevel"/>
    <w:tmpl w:val="E093A4B0"/>
    <w:lvl w:ilvl="0" w:tentative="0">
      <w:start w:val="1"/>
      <w:numFmt w:val="decimal"/>
      <w:lvlText w:val="（%1）"/>
      <w:lvlJc w:val="left"/>
      <w:pPr>
        <w:ind w:left="220" w:hanging="604"/>
        <w:jc w:val="left"/>
      </w:pPr>
      <w:rPr>
        <w:rFonts w:hint="default" w:ascii="宋体" w:hAnsi="宋体" w:eastAsia="宋体" w:cs="宋体"/>
        <w:w w:val="100"/>
        <w:sz w:val="22"/>
        <w:szCs w:val="22"/>
      </w:rPr>
    </w:lvl>
    <w:lvl w:ilvl="1" w:tentative="0">
      <w:start w:val="0"/>
      <w:numFmt w:val="bullet"/>
      <w:lvlText w:val="•"/>
      <w:lvlJc w:val="left"/>
      <w:pPr>
        <w:ind w:left="1180" w:hanging="604"/>
      </w:pPr>
      <w:rPr>
        <w:rFonts w:hint="default"/>
      </w:rPr>
    </w:lvl>
    <w:lvl w:ilvl="2" w:tentative="0">
      <w:start w:val="0"/>
      <w:numFmt w:val="bullet"/>
      <w:lvlText w:val="•"/>
      <w:lvlJc w:val="left"/>
      <w:pPr>
        <w:ind w:left="2141" w:hanging="604"/>
      </w:pPr>
      <w:rPr>
        <w:rFonts w:hint="default"/>
      </w:rPr>
    </w:lvl>
    <w:lvl w:ilvl="3" w:tentative="0">
      <w:start w:val="0"/>
      <w:numFmt w:val="bullet"/>
      <w:lvlText w:val="•"/>
      <w:lvlJc w:val="left"/>
      <w:pPr>
        <w:ind w:left="3101" w:hanging="604"/>
      </w:pPr>
      <w:rPr>
        <w:rFonts w:hint="default"/>
      </w:rPr>
    </w:lvl>
    <w:lvl w:ilvl="4" w:tentative="0">
      <w:start w:val="0"/>
      <w:numFmt w:val="bullet"/>
      <w:lvlText w:val="•"/>
      <w:lvlJc w:val="left"/>
      <w:pPr>
        <w:ind w:left="4062" w:hanging="604"/>
      </w:pPr>
      <w:rPr>
        <w:rFonts w:hint="default"/>
      </w:rPr>
    </w:lvl>
    <w:lvl w:ilvl="5" w:tentative="0">
      <w:start w:val="0"/>
      <w:numFmt w:val="bullet"/>
      <w:lvlText w:val="•"/>
      <w:lvlJc w:val="left"/>
      <w:pPr>
        <w:ind w:left="5023" w:hanging="604"/>
      </w:pPr>
      <w:rPr>
        <w:rFonts w:hint="default"/>
      </w:rPr>
    </w:lvl>
    <w:lvl w:ilvl="6" w:tentative="0">
      <w:start w:val="0"/>
      <w:numFmt w:val="bullet"/>
      <w:lvlText w:val="•"/>
      <w:lvlJc w:val="left"/>
      <w:pPr>
        <w:ind w:left="5983" w:hanging="604"/>
      </w:pPr>
      <w:rPr>
        <w:rFonts w:hint="default"/>
      </w:rPr>
    </w:lvl>
    <w:lvl w:ilvl="7" w:tentative="0">
      <w:start w:val="0"/>
      <w:numFmt w:val="bullet"/>
      <w:lvlText w:val="•"/>
      <w:lvlJc w:val="left"/>
      <w:pPr>
        <w:ind w:left="6944" w:hanging="604"/>
      </w:pPr>
      <w:rPr>
        <w:rFonts w:hint="default"/>
      </w:rPr>
    </w:lvl>
    <w:lvl w:ilvl="8" w:tentative="0">
      <w:start w:val="0"/>
      <w:numFmt w:val="bullet"/>
      <w:lvlText w:val="•"/>
      <w:lvlJc w:val="left"/>
      <w:pPr>
        <w:ind w:left="7904" w:hanging="604"/>
      </w:pPr>
      <w:rPr>
        <w:rFonts w:hint="default"/>
      </w:rPr>
    </w:lvl>
  </w:abstractNum>
  <w:abstractNum w:abstractNumId="25">
    <w:nsid w:val="E43A772E"/>
    <w:multiLevelType w:val="multilevel"/>
    <w:tmpl w:val="E43A772E"/>
    <w:lvl w:ilvl="0" w:tentative="0">
      <w:start w:val="2"/>
      <w:numFmt w:val="decimal"/>
      <w:lvlText w:val="%1"/>
      <w:lvlJc w:val="left"/>
      <w:pPr>
        <w:ind w:left="1062" w:hanging="363"/>
        <w:jc w:val="left"/>
      </w:pPr>
      <w:rPr>
        <w:rFonts w:hint="default"/>
      </w:rPr>
    </w:lvl>
    <w:lvl w:ilvl="1" w:tentative="0">
      <w:start w:val="1"/>
      <w:numFmt w:val="decimal"/>
      <w:lvlText w:val="%1.%2"/>
      <w:lvlJc w:val="left"/>
      <w:pPr>
        <w:ind w:left="1062" w:hanging="363"/>
        <w:jc w:val="left"/>
      </w:pPr>
      <w:rPr>
        <w:rFonts w:hint="default" w:ascii="Calibri" w:hAnsi="Calibri" w:eastAsia="Calibri" w:cs="Calibri"/>
        <w:spacing w:val="-1"/>
        <w:w w:val="100"/>
        <w:sz w:val="24"/>
        <w:szCs w:val="24"/>
      </w:rPr>
    </w:lvl>
    <w:lvl w:ilvl="2" w:tentative="0">
      <w:start w:val="0"/>
      <w:numFmt w:val="bullet"/>
      <w:lvlText w:val="•"/>
      <w:lvlJc w:val="left"/>
      <w:pPr>
        <w:ind w:left="2813" w:hanging="363"/>
      </w:pPr>
      <w:rPr>
        <w:rFonts w:hint="default"/>
      </w:rPr>
    </w:lvl>
    <w:lvl w:ilvl="3" w:tentative="0">
      <w:start w:val="0"/>
      <w:numFmt w:val="bullet"/>
      <w:lvlText w:val="•"/>
      <w:lvlJc w:val="left"/>
      <w:pPr>
        <w:ind w:left="3689" w:hanging="363"/>
      </w:pPr>
      <w:rPr>
        <w:rFonts w:hint="default"/>
      </w:rPr>
    </w:lvl>
    <w:lvl w:ilvl="4" w:tentative="0">
      <w:start w:val="0"/>
      <w:numFmt w:val="bullet"/>
      <w:lvlText w:val="•"/>
      <w:lvlJc w:val="left"/>
      <w:pPr>
        <w:ind w:left="4566" w:hanging="363"/>
      </w:pPr>
      <w:rPr>
        <w:rFonts w:hint="default"/>
      </w:rPr>
    </w:lvl>
    <w:lvl w:ilvl="5" w:tentative="0">
      <w:start w:val="0"/>
      <w:numFmt w:val="bullet"/>
      <w:lvlText w:val="•"/>
      <w:lvlJc w:val="left"/>
      <w:pPr>
        <w:ind w:left="5443" w:hanging="363"/>
      </w:pPr>
      <w:rPr>
        <w:rFonts w:hint="default"/>
      </w:rPr>
    </w:lvl>
    <w:lvl w:ilvl="6" w:tentative="0">
      <w:start w:val="0"/>
      <w:numFmt w:val="bullet"/>
      <w:lvlText w:val="•"/>
      <w:lvlJc w:val="left"/>
      <w:pPr>
        <w:ind w:left="6319" w:hanging="363"/>
      </w:pPr>
      <w:rPr>
        <w:rFonts w:hint="default"/>
      </w:rPr>
    </w:lvl>
    <w:lvl w:ilvl="7" w:tentative="0">
      <w:start w:val="0"/>
      <w:numFmt w:val="bullet"/>
      <w:lvlText w:val="•"/>
      <w:lvlJc w:val="left"/>
      <w:pPr>
        <w:ind w:left="7196" w:hanging="363"/>
      </w:pPr>
      <w:rPr>
        <w:rFonts w:hint="default"/>
      </w:rPr>
    </w:lvl>
    <w:lvl w:ilvl="8" w:tentative="0">
      <w:start w:val="0"/>
      <w:numFmt w:val="bullet"/>
      <w:lvlText w:val="•"/>
      <w:lvlJc w:val="left"/>
      <w:pPr>
        <w:ind w:left="8072" w:hanging="363"/>
      </w:pPr>
      <w:rPr>
        <w:rFonts w:hint="default"/>
      </w:rPr>
    </w:lvl>
  </w:abstractNum>
  <w:abstractNum w:abstractNumId="26">
    <w:nsid w:val="E52D9448"/>
    <w:multiLevelType w:val="multilevel"/>
    <w:tmpl w:val="E52D9448"/>
    <w:lvl w:ilvl="0" w:tentative="0">
      <w:start w:val="1"/>
      <w:numFmt w:val="decimal"/>
      <w:lvlText w:val="（%1）"/>
      <w:lvlJc w:val="left"/>
      <w:pPr>
        <w:ind w:left="1301" w:hanging="601"/>
        <w:jc w:val="left"/>
      </w:pPr>
      <w:rPr>
        <w:rFonts w:hint="default" w:ascii="宋体" w:hAnsi="宋体" w:eastAsia="宋体" w:cs="宋体"/>
        <w:spacing w:val="-2"/>
        <w:w w:val="100"/>
        <w:sz w:val="22"/>
        <w:szCs w:val="22"/>
      </w:rPr>
    </w:lvl>
    <w:lvl w:ilvl="1" w:tentative="0">
      <w:start w:val="0"/>
      <w:numFmt w:val="bullet"/>
      <w:lvlText w:val="•"/>
      <w:lvlJc w:val="left"/>
      <w:pPr>
        <w:ind w:left="2152" w:hanging="601"/>
      </w:pPr>
      <w:rPr>
        <w:rFonts w:hint="default"/>
      </w:rPr>
    </w:lvl>
    <w:lvl w:ilvl="2" w:tentative="0">
      <w:start w:val="0"/>
      <w:numFmt w:val="bullet"/>
      <w:lvlText w:val="•"/>
      <w:lvlJc w:val="left"/>
      <w:pPr>
        <w:ind w:left="3005" w:hanging="601"/>
      </w:pPr>
      <w:rPr>
        <w:rFonts w:hint="default"/>
      </w:rPr>
    </w:lvl>
    <w:lvl w:ilvl="3" w:tentative="0">
      <w:start w:val="0"/>
      <w:numFmt w:val="bullet"/>
      <w:lvlText w:val="•"/>
      <w:lvlJc w:val="left"/>
      <w:pPr>
        <w:ind w:left="3857" w:hanging="601"/>
      </w:pPr>
      <w:rPr>
        <w:rFonts w:hint="default"/>
      </w:rPr>
    </w:lvl>
    <w:lvl w:ilvl="4" w:tentative="0">
      <w:start w:val="0"/>
      <w:numFmt w:val="bullet"/>
      <w:lvlText w:val="•"/>
      <w:lvlJc w:val="left"/>
      <w:pPr>
        <w:ind w:left="4710" w:hanging="601"/>
      </w:pPr>
      <w:rPr>
        <w:rFonts w:hint="default"/>
      </w:rPr>
    </w:lvl>
    <w:lvl w:ilvl="5" w:tentative="0">
      <w:start w:val="0"/>
      <w:numFmt w:val="bullet"/>
      <w:lvlText w:val="•"/>
      <w:lvlJc w:val="left"/>
      <w:pPr>
        <w:ind w:left="5563" w:hanging="601"/>
      </w:pPr>
      <w:rPr>
        <w:rFonts w:hint="default"/>
      </w:rPr>
    </w:lvl>
    <w:lvl w:ilvl="6" w:tentative="0">
      <w:start w:val="0"/>
      <w:numFmt w:val="bullet"/>
      <w:lvlText w:val="•"/>
      <w:lvlJc w:val="left"/>
      <w:pPr>
        <w:ind w:left="6415" w:hanging="601"/>
      </w:pPr>
      <w:rPr>
        <w:rFonts w:hint="default"/>
      </w:rPr>
    </w:lvl>
    <w:lvl w:ilvl="7" w:tentative="0">
      <w:start w:val="0"/>
      <w:numFmt w:val="bullet"/>
      <w:lvlText w:val="•"/>
      <w:lvlJc w:val="left"/>
      <w:pPr>
        <w:ind w:left="7268" w:hanging="601"/>
      </w:pPr>
      <w:rPr>
        <w:rFonts w:hint="default"/>
      </w:rPr>
    </w:lvl>
    <w:lvl w:ilvl="8" w:tentative="0">
      <w:start w:val="0"/>
      <w:numFmt w:val="bullet"/>
      <w:lvlText w:val="•"/>
      <w:lvlJc w:val="left"/>
      <w:pPr>
        <w:ind w:left="8120" w:hanging="601"/>
      </w:pPr>
      <w:rPr>
        <w:rFonts w:hint="default"/>
      </w:rPr>
    </w:lvl>
  </w:abstractNum>
  <w:abstractNum w:abstractNumId="27">
    <w:nsid w:val="EA28CC15"/>
    <w:multiLevelType w:val="multilevel"/>
    <w:tmpl w:val="EA28CC15"/>
    <w:lvl w:ilvl="0" w:tentative="0">
      <w:start w:val="1"/>
      <w:numFmt w:val="decimal"/>
      <w:lvlText w:val="%1."/>
      <w:lvlJc w:val="left"/>
      <w:pPr>
        <w:ind w:left="883" w:hanging="184"/>
        <w:jc w:val="left"/>
      </w:pPr>
      <w:rPr>
        <w:rFonts w:hint="default" w:ascii="Calibri" w:hAnsi="Calibri" w:eastAsia="Calibri" w:cs="Calibri"/>
        <w:spacing w:val="-1"/>
        <w:w w:val="100"/>
        <w:sz w:val="22"/>
        <w:szCs w:val="22"/>
      </w:rPr>
    </w:lvl>
    <w:lvl w:ilvl="1" w:tentative="0">
      <w:start w:val="0"/>
      <w:numFmt w:val="bullet"/>
      <w:lvlText w:val="•"/>
      <w:lvlJc w:val="left"/>
      <w:pPr>
        <w:ind w:left="1774" w:hanging="184"/>
      </w:pPr>
      <w:rPr>
        <w:rFonts w:hint="default"/>
      </w:rPr>
    </w:lvl>
    <w:lvl w:ilvl="2" w:tentative="0">
      <w:start w:val="0"/>
      <w:numFmt w:val="bullet"/>
      <w:lvlText w:val="•"/>
      <w:lvlJc w:val="left"/>
      <w:pPr>
        <w:ind w:left="2669" w:hanging="184"/>
      </w:pPr>
      <w:rPr>
        <w:rFonts w:hint="default"/>
      </w:rPr>
    </w:lvl>
    <w:lvl w:ilvl="3" w:tentative="0">
      <w:start w:val="0"/>
      <w:numFmt w:val="bullet"/>
      <w:lvlText w:val="•"/>
      <w:lvlJc w:val="left"/>
      <w:pPr>
        <w:ind w:left="3563" w:hanging="184"/>
      </w:pPr>
      <w:rPr>
        <w:rFonts w:hint="default"/>
      </w:rPr>
    </w:lvl>
    <w:lvl w:ilvl="4" w:tentative="0">
      <w:start w:val="0"/>
      <w:numFmt w:val="bullet"/>
      <w:lvlText w:val="•"/>
      <w:lvlJc w:val="left"/>
      <w:pPr>
        <w:ind w:left="4458" w:hanging="184"/>
      </w:pPr>
      <w:rPr>
        <w:rFonts w:hint="default"/>
      </w:rPr>
    </w:lvl>
    <w:lvl w:ilvl="5" w:tentative="0">
      <w:start w:val="0"/>
      <w:numFmt w:val="bullet"/>
      <w:lvlText w:val="•"/>
      <w:lvlJc w:val="left"/>
      <w:pPr>
        <w:ind w:left="5353" w:hanging="184"/>
      </w:pPr>
      <w:rPr>
        <w:rFonts w:hint="default"/>
      </w:rPr>
    </w:lvl>
    <w:lvl w:ilvl="6" w:tentative="0">
      <w:start w:val="0"/>
      <w:numFmt w:val="bullet"/>
      <w:lvlText w:val="•"/>
      <w:lvlJc w:val="left"/>
      <w:pPr>
        <w:ind w:left="6247" w:hanging="184"/>
      </w:pPr>
      <w:rPr>
        <w:rFonts w:hint="default"/>
      </w:rPr>
    </w:lvl>
    <w:lvl w:ilvl="7" w:tentative="0">
      <w:start w:val="0"/>
      <w:numFmt w:val="bullet"/>
      <w:lvlText w:val="•"/>
      <w:lvlJc w:val="left"/>
      <w:pPr>
        <w:ind w:left="7142" w:hanging="184"/>
      </w:pPr>
      <w:rPr>
        <w:rFonts w:hint="default"/>
      </w:rPr>
    </w:lvl>
    <w:lvl w:ilvl="8" w:tentative="0">
      <w:start w:val="0"/>
      <w:numFmt w:val="bullet"/>
      <w:lvlText w:val="•"/>
      <w:lvlJc w:val="left"/>
      <w:pPr>
        <w:ind w:left="8036" w:hanging="184"/>
      </w:pPr>
      <w:rPr>
        <w:rFonts w:hint="default"/>
      </w:rPr>
    </w:lvl>
  </w:abstractNum>
  <w:abstractNum w:abstractNumId="28">
    <w:nsid w:val="F0E89278"/>
    <w:multiLevelType w:val="multilevel"/>
    <w:tmpl w:val="F0E89278"/>
    <w:lvl w:ilvl="0" w:tentative="0">
      <w:start w:val="1"/>
      <w:numFmt w:val="decimal"/>
      <w:lvlText w:val="（%1）"/>
      <w:lvlJc w:val="left"/>
      <w:pPr>
        <w:ind w:left="220" w:hanging="604"/>
        <w:jc w:val="left"/>
      </w:pPr>
      <w:rPr>
        <w:rFonts w:hint="default" w:ascii="宋体" w:hAnsi="宋体" w:eastAsia="宋体" w:cs="宋体"/>
        <w:w w:val="100"/>
        <w:sz w:val="22"/>
        <w:szCs w:val="22"/>
      </w:rPr>
    </w:lvl>
    <w:lvl w:ilvl="1" w:tentative="0">
      <w:start w:val="0"/>
      <w:numFmt w:val="bullet"/>
      <w:lvlText w:val="•"/>
      <w:lvlJc w:val="left"/>
      <w:pPr>
        <w:ind w:left="1180" w:hanging="604"/>
      </w:pPr>
      <w:rPr>
        <w:rFonts w:hint="default"/>
      </w:rPr>
    </w:lvl>
    <w:lvl w:ilvl="2" w:tentative="0">
      <w:start w:val="0"/>
      <w:numFmt w:val="bullet"/>
      <w:lvlText w:val="•"/>
      <w:lvlJc w:val="left"/>
      <w:pPr>
        <w:ind w:left="2141" w:hanging="604"/>
      </w:pPr>
      <w:rPr>
        <w:rFonts w:hint="default"/>
      </w:rPr>
    </w:lvl>
    <w:lvl w:ilvl="3" w:tentative="0">
      <w:start w:val="0"/>
      <w:numFmt w:val="bullet"/>
      <w:lvlText w:val="•"/>
      <w:lvlJc w:val="left"/>
      <w:pPr>
        <w:ind w:left="3101" w:hanging="604"/>
      </w:pPr>
      <w:rPr>
        <w:rFonts w:hint="default"/>
      </w:rPr>
    </w:lvl>
    <w:lvl w:ilvl="4" w:tentative="0">
      <w:start w:val="0"/>
      <w:numFmt w:val="bullet"/>
      <w:lvlText w:val="•"/>
      <w:lvlJc w:val="left"/>
      <w:pPr>
        <w:ind w:left="4062" w:hanging="604"/>
      </w:pPr>
      <w:rPr>
        <w:rFonts w:hint="default"/>
      </w:rPr>
    </w:lvl>
    <w:lvl w:ilvl="5" w:tentative="0">
      <w:start w:val="0"/>
      <w:numFmt w:val="bullet"/>
      <w:lvlText w:val="•"/>
      <w:lvlJc w:val="left"/>
      <w:pPr>
        <w:ind w:left="5023" w:hanging="604"/>
      </w:pPr>
      <w:rPr>
        <w:rFonts w:hint="default"/>
      </w:rPr>
    </w:lvl>
    <w:lvl w:ilvl="6" w:tentative="0">
      <w:start w:val="0"/>
      <w:numFmt w:val="bullet"/>
      <w:lvlText w:val="•"/>
      <w:lvlJc w:val="left"/>
      <w:pPr>
        <w:ind w:left="5983" w:hanging="604"/>
      </w:pPr>
      <w:rPr>
        <w:rFonts w:hint="default"/>
      </w:rPr>
    </w:lvl>
    <w:lvl w:ilvl="7" w:tentative="0">
      <w:start w:val="0"/>
      <w:numFmt w:val="bullet"/>
      <w:lvlText w:val="•"/>
      <w:lvlJc w:val="left"/>
      <w:pPr>
        <w:ind w:left="6944" w:hanging="604"/>
      </w:pPr>
      <w:rPr>
        <w:rFonts w:hint="default"/>
      </w:rPr>
    </w:lvl>
    <w:lvl w:ilvl="8" w:tentative="0">
      <w:start w:val="0"/>
      <w:numFmt w:val="bullet"/>
      <w:lvlText w:val="•"/>
      <w:lvlJc w:val="left"/>
      <w:pPr>
        <w:ind w:left="7904" w:hanging="604"/>
      </w:pPr>
      <w:rPr>
        <w:rFonts w:hint="default"/>
      </w:rPr>
    </w:lvl>
  </w:abstractNum>
  <w:abstractNum w:abstractNumId="29">
    <w:nsid w:val="F1FCDEFA"/>
    <w:multiLevelType w:val="multilevel"/>
    <w:tmpl w:val="F1FCDEFA"/>
    <w:lvl w:ilvl="0" w:tentative="0">
      <w:start w:val="3"/>
      <w:numFmt w:val="decimal"/>
      <w:lvlText w:val="%1"/>
      <w:lvlJc w:val="left"/>
      <w:pPr>
        <w:ind w:left="220" w:hanging="365"/>
        <w:jc w:val="left"/>
      </w:pPr>
      <w:rPr>
        <w:rFonts w:hint="default"/>
      </w:rPr>
    </w:lvl>
    <w:lvl w:ilvl="1" w:tentative="0">
      <w:start w:val="1"/>
      <w:numFmt w:val="decimal"/>
      <w:lvlText w:val="%1.%2"/>
      <w:lvlJc w:val="left"/>
      <w:pPr>
        <w:ind w:left="220" w:hanging="365"/>
        <w:jc w:val="left"/>
      </w:pPr>
      <w:rPr>
        <w:rFonts w:hint="default" w:ascii="Calibri" w:hAnsi="Calibri" w:eastAsia="Calibri" w:cs="Calibri"/>
        <w:spacing w:val="-1"/>
        <w:w w:val="100"/>
        <w:sz w:val="24"/>
        <w:szCs w:val="24"/>
      </w:rPr>
    </w:lvl>
    <w:lvl w:ilvl="2" w:tentative="0">
      <w:start w:val="0"/>
      <w:numFmt w:val="bullet"/>
      <w:lvlText w:val="•"/>
      <w:lvlJc w:val="left"/>
      <w:pPr>
        <w:ind w:left="2141" w:hanging="365"/>
      </w:pPr>
      <w:rPr>
        <w:rFonts w:hint="default"/>
      </w:rPr>
    </w:lvl>
    <w:lvl w:ilvl="3" w:tentative="0">
      <w:start w:val="0"/>
      <w:numFmt w:val="bullet"/>
      <w:lvlText w:val="•"/>
      <w:lvlJc w:val="left"/>
      <w:pPr>
        <w:ind w:left="3101" w:hanging="365"/>
      </w:pPr>
      <w:rPr>
        <w:rFonts w:hint="default"/>
      </w:rPr>
    </w:lvl>
    <w:lvl w:ilvl="4" w:tentative="0">
      <w:start w:val="0"/>
      <w:numFmt w:val="bullet"/>
      <w:lvlText w:val="•"/>
      <w:lvlJc w:val="left"/>
      <w:pPr>
        <w:ind w:left="4062" w:hanging="365"/>
      </w:pPr>
      <w:rPr>
        <w:rFonts w:hint="default"/>
      </w:rPr>
    </w:lvl>
    <w:lvl w:ilvl="5" w:tentative="0">
      <w:start w:val="0"/>
      <w:numFmt w:val="bullet"/>
      <w:lvlText w:val="•"/>
      <w:lvlJc w:val="left"/>
      <w:pPr>
        <w:ind w:left="5023" w:hanging="365"/>
      </w:pPr>
      <w:rPr>
        <w:rFonts w:hint="default"/>
      </w:rPr>
    </w:lvl>
    <w:lvl w:ilvl="6" w:tentative="0">
      <w:start w:val="0"/>
      <w:numFmt w:val="bullet"/>
      <w:lvlText w:val="•"/>
      <w:lvlJc w:val="left"/>
      <w:pPr>
        <w:ind w:left="5983" w:hanging="365"/>
      </w:pPr>
      <w:rPr>
        <w:rFonts w:hint="default"/>
      </w:rPr>
    </w:lvl>
    <w:lvl w:ilvl="7" w:tentative="0">
      <w:start w:val="0"/>
      <w:numFmt w:val="bullet"/>
      <w:lvlText w:val="•"/>
      <w:lvlJc w:val="left"/>
      <w:pPr>
        <w:ind w:left="6944" w:hanging="365"/>
      </w:pPr>
      <w:rPr>
        <w:rFonts w:hint="default"/>
      </w:rPr>
    </w:lvl>
    <w:lvl w:ilvl="8" w:tentative="0">
      <w:start w:val="0"/>
      <w:numFmt w:val="bullet"/>
      <w:lvlText w:val="•"/>
      <w:lvlJc w:val="left"/>
      <w:pPr>
        <w:ind w:left="7904" w:hanging="365"/>
      </w:pPr>
      <w:rPr>
        <w:rFonts w:hint="default"/>
      </w:rPr>
    </w:lvl>
  </w:abstractNum>
  <w:abstractNum w:abstractNumId="30">
    <w:nsid w:val="F237ACA1"/>
    <w:multiLevelType w:val="multilevel"/>
    <w:tmpl w:val="F237ACA1"/>
    <w:lvl w:ilvl="0" w:tentative="0">
      <w:start w:val="1"/>
      <w:numFmt w:val="decimal"/>
      <w:lvlText w:val="%1."/>
      <w:lvlJc w:val="left"/>
      <w:pPr>
        <w:ind w:left="883" w:hanging="184"/>
        <w:jc w:val="left"/>
      </w:pPr>
      <w:rPr>
        <w:rFonts w:hint="default" w:ascii="Calibri" w:hAnsi="Calibri" w:eastAsia="Calibri" w:cs="Calibri"/>
        <w:spacing w:val="-1"/>
        <w:w w:val="100"/>
        <w:sz w:val="22"/>
        <w:szCs w:val="22"/>
      </w:rPr>
    </w:lvl>
    <w:lvl w:ilvl="1" w:tentative="0">
      <w:start w:val="0"/>
      <w:numFmt w:val="bullet"/>
      <w:lvlText w:val="•"/>
      <w:lvlJc w:val="left"/>
      <w:pPr>
        <w:ind w:left="1774" w:hanging="184"/>
      </w:pPr>
      <w:rPr>
        <w:rFonts w:hint="default"/>
      </w:rPr>
    </w:lvl>
    <w:lvl w:ilvl="2" w:tentative="0">
      <w:start w:val="0"/>
      <w:numFmt w:val="bullet"/>
      <w:lvlText w:val="•"/>
      <w:lvlJc w:val="left"/>
      <w:pPr>
        <w:ind w:left="2669" w:hanging="184"/>
      </w:pPr>
      <w:rPr>
        <w:rFonts w:hint="default"/>
      </w:rPr>
    </w:lvl>
    <w:lvl w:ilvl="3" w:tentative="0">
      <w:start w:val="0"/>
      <w:numFmt w:val="bullet"/>
      <w:lvlText w:val="•"/>
      <w:lvlJc w:val="left"/>
      <w:pPr>
        <w:ind w:left="3563" w:hanging="184"/>
      </w:pPr>
      <w:rPr>
        <w:rFonts w:hint="default"/>
      </w:rPr>
    </w:lvl>
    <w:lvl w:ilvl="4" w:tentative="0">
      <w:start w:val="0"/>
      <w:numFmt w:val="bullet"/>
      <w:lvlText w:val="•"/>
      <w:lvlJc w:val="left"/>
      <w:pPr>
        <w:ind w:left="4458" w:hanging="184"/>
      </w:pPr>
      <w:rPr>
        <w:rFonts w:hint="default"/>
      </w:rPr>
    </w:lvl>
    <w:lvl w:ilvl="5" w:tentative="0">
      <w:start w:val="0"/>
      <w:numFmt w:val="bullet"/>
      <w:lvlText w:val="•"/>
      <w:lvlJc w:val="left"/>
      <w:pPr>
        <w:ind w:left="5353" w:hanging="184"/>
      </w:pPr>
      <w:rPr>
        <w:rFonts w:hint="default"/>
      </w:rPr>
    </w:lvl>
    <w:lvl w:ilvl="6" w:tentative="0">
      <w:start w:val="0"/>
      <w:numFmt w:val="bullet"/>
      <w:lvlText w:val="•"/>
      <w:lvlJc w:val="left"/>
      <w:pPr>
        <w:ind w:left="6247" w:hanging="184"/>
      </w:pPr>
      <w:rPr>
        <w:rFonts w:hint="default"/>
      </w:rPr>
    </w:lvl>
    <w:lvl w:ilvl="7" w:tentative="0">
      <w:start w:val="0"/>
      <w:numFmt w:val="bullet"/>
      <w:lvlText w:val="•"/>
      <w:lvlJc w:val="left"/>
      <w:pPr>
        <w:ind w:left="7142" w:hanging="184"/>
      </w:pPr>
      <w:rPr>
        <w:rFonts w:hint="default"/>
      </w:rPr>
    </w:lvl>
    <w:lvl w:ilvl="8" w:tentative="0">
      <w:start w:val="0"/>
      <w:numFmt w:val="bullet"/>
      <w:lvlText w:val="•"/>
      <w:lvlJc w:val="left"/>
      <w:pPr>
        <w:ind w:left="8036" w:hanging="184"/>
      </w:pPr>
      <w:rPr>
        <w:rFonts w:hint="default"/>
      </w:rPr>
    </w:lvl>
  </w:abstractNum>
  <w:abstractNum w:abstractNumId="31">
    <w:nsid w:val="F46CCC20"/>
    <w:multiLevelType w:val="multilevel"/>
    <w:tmpl w:val="F46CCC20"/>
    <w:lvl w:ilvl="0" w:tentative="0">
      <w:start w:val="1"/>
      <w:numFmt w:val="lowerLetter"/>
      <w:lvlText w:val="%1."/>
      <w:lvlJc w:val="left"/>
      <w:pPr>
        <w:ind w:left="285" w:hanging="177"/>
        <w:jc w:val="left"/>
      </w:pPr>
      <w:rPr>
        <w:rFonts w:hint="default" w:ascii="Calibri" w:hAnsi="Calibri" w:eastAsia="Calibri" w:cs="Calibri"/>
        <w:spacing w:val="-3"/>
        <w:w w:val="100"/>
        <w:sz w:val="22"/>
        <w:szCs w:val="22"/>
      </w:rPr>
    </w:lvl>
    <w:lvl w:ilvl="1" w:tentative="0">
      <w:start w:val="0"/>
      <w:numFmt w:val="bullet"/>
      <w:lvlText w:val="•"/>
      <w:lvlJc w:val="left"/>
      <w:pPr>
        <w:ind w:left="1043" w:hanging="177"/>
      </w:pPr>
      <w:rPr>
        <w:rFonts w:hint="default"/>
      </w:rPr>
    </w:lvl>
    <w:lvl w:ilvl="2" w:tentative="0">
      <w:start w:val="0"/>
      <w:numFmt w:val="bullet"/>
      <w:lvlText w:val="•"/>
      <w:lvlJc w:val="left"/>
      <w:pPr>
        <w:ind w:left="1807" w:hanging="177"/>
      </w:pPr>
      <w:rPr>
        <w:rFonts w:hint="default"/>
      </w:rPr>
    </w:lvl>
    <w:lvl w:ilvl="3" w:tentative="0">
      <w:start w:val="0"/>
      <w:numFmt w:val="bullet"/>
      <w:lvlText w:val="•"/>
      <w:lvlJc w:val="left"/>
      <w:pPr>
        <w:ind w:left="2570" w:hanging="177"/>
      </w:pPr>
      <w:rPr>
        <w:rFonts w:hint="default"/>
      </w:rPr>
    </w:lvl>
    <w:lvl w:ilvl="4" w:tentative="0">
      <w:start w:val="0"/>
      <w:numFmt w:val="bullet"/>
      <w:lvlText w:val="•"/>
      <w:lvlJc w:val="left"/>
      <w:pPr>
        <w:ind w:left="3334" w:hanging="177"/>
      </w:pPr>
      <w:rPr>
        <w:rFonts w:hint="default"/>
      </w:rPr>
    </w:lvl>
    <w:lvl w:ilvl="5" w:tentative="0">
      <w:start w:val="0"/>
      <w:numFmt w:val="bullet"/>
      <w:lvlText w:val="•"/>
      <w:lvlJc w:val="left"/>
      <w:pPr>
        <w:ind w:left="4098" w:hanging="177"/>
      </w:pPr>
      <w:rPr>
        <w:rFonts w:hint="default"/>
      </w:rPr>
    </w:lvl>
    <w:lvl w:ilvl="6" w:tentative="0">
      <w:start w:val="0"/>
      <w:numFmt w:val="bullet"/>
      <w:lvlText w:val="•"/>
      <w:lvlJc w:val="left"/>
      <w:pPr>
        <w:ind w:left="4861" w:hanging="177"/>
      </w:pPr>
      <w:rPr>
        <w:rFonts w:hint="default"/>
      </w:rPr>
    </w:lvl>
    <w:lvl w:ilvl="7" w:tentative="0">
      <w:start w:val="0"/>
      <w:numFmt w:val="bullet"/>
      <w:lvlText w:val="•"/>
      <w:lvlJc w:val="left"/>
      <w:pPr>
        <w:ind w:left="5625" w:hanging="177"/>
      </w:pPr>
      <w:rPr>
        <w:rFonts w:hint="default"/>
      </w:rPr>
    </w:lvl>
    <w:lvl w:ilvl="8" w:tentative="0">
      <w:start w:val="0"/>
      <w:numFmt w:val="bullet"/>
      <w:lvlText w:val="•"/>
      <w:lvlJc w:val="left"/>
      <w:pPr>
        <w:ind w:left="6388" w:hanging="177"/>
      </w:pPr>
      <w:rPr>
        <w:rFonts w:hint="default"/>
      </w:rPr>
    </w:lvl>
  </w:abstractNum>
  <w:abstractNum w:abstractNumId="32">
    <w:nsid w:val="F4B5D9F5"/>
    <w:multiLevelType w:val="multilevel"/>
    <w:tmpl w:val="F4B5D9F5"/>
    <w:lvl w:ilvl="0" w:tentative="0">
      <w:start w:val="1"/>
      <w:numFmt w:val="decimal"/>
      <w:lvlText w:val="（%1）"/>
      <w:lvlJc w:val="left"/>
      <w:pPr>
        <w:ind w:left="220" w:hanging="604"/>
        <w:jc w:val="left"/>
      </w:pPr>
      <w:rPr>
        <w:rFonts w:hint="default" w:ascii="宋体" w:hAnsi="宋体" w:eastAsia="宋体" w:cs="宋体"/>
        <w:w w:val="100"/>
        <w:sz w:val="22"/>
        <w:szCs w:val="22"/>
      </w:rPr>
    </w:lvl>
    <w:lvl w:ilvl="1" w:tentative="0">
      <w:start w:val="0"/>
      <w:numFmt w:val="bullet"/>
      <w:lvlText w:val="•"/>
      <w:lvlJc w:val="left"/>
      <w:pPr>
        <w:ind w:left="1180" w:hanging="604"/>
      </w:pPr>
      <w:rPr>
        <w:rFonts w:hint="default"/>
      </w:rPr>
    </w:lvl>
    <w:lvl w:ilvl="2" w:tentative="0">
      <w:start w:val="0"/>
      <w:numFmt w:val="bullet"/>
      <w:lvlText w:val="•"/>
      <w:lvlJc w:val="left"/>
      <w:pPr>
        <w:ind w:left="2141" w:hanging="604"/>
      </w:pPr>
      <w:rPr>
        <w:rFonts w:hint="default"/>
      </w:rPr>
    </w:lvl>
    <w:lvl w:ilvl="3" w:tentative="0">
      <w:start w:val="0"/>
      <w:numFmt w:val="bullet"/>
      <w:lvlText w:val="•"/>
      <w:lvlJc w:val="left"/>
      <w:pPr>
        <w:ind w:left="3101" w:hanging="604"/>
      </w:pPr>
      <w:rPr>
        <w:rFonts w:hint="default"/>
      </w:rPr>
    </w:lvl>
    <w:lvl w:ilvl="4" w:tentative="0">
      <w:start w:val="0"/>
      <w:numFmt w:val="bullet"/>
      <w:lvlText w:val="•"/>
      <w:lvlJc w:val="left"/>
      <w:pPr>
        <w:ind w:left="4062" w:hanging="604"/>
      </w:pPr>
      <w:rPr>
        <w:rFonts w:hint="default"/>
      </w:rPr>
    </w:lvl>
    <w:lvl w:ilvl="5" w:tentative="0">
      <w:start w:val="0"/>
      <w:numFmt w:val="bullet"/>
      <w:lvlText w:val="•"/>
      <w:lvlJc w:val="left"/>
      <w:pPr>
        <w:ind w:left="5023" w:hanging="604"/>
      </w:pPr>
      <w:rPr>
        <w:rFonts w:hint="default"/>
      </w:rPr>
    </w:lvl>
    <w:lvl w:ilvl="6" w:tentative="0">
      <w:start w:val="0"/>
      <w:numFmt w:val="bullet"/>
      <w:lvlText w:val="•"/>
      <w:lvlJc w:val="left"/>
      <w:pPr>
        <w:ind w:left="5983" w:hanging="604"/>
      </w:pPr>
      <w:rPr>
        <w:rFonts w:hint="default"/>
      </w:rPr>
    </w:lvl>
    <w:lvl w:ilvl="7" w:tentative="0">
      <w:start w:val="0"/>
      <w:numFmt w:val="bullet"/>
      <w:lvlText w:val="•"/>
      <w:lvlJc w:val="left"/>
      <w:pPr>
        <w:ind w:left="6944" w:hanging="604"/>
      </w:pPr>
      <w:rPr>
        <w:rFonts w:hint="default"/>
      </w:rPr>
    </w:lvl>
    <w:lvl w:ilvl="8" w:tentative="0">
      <w:start w:val="0"/>
      <w:numFmt w:val="bullet"/>
      <w:lvlText w:val="•"/>
      <w:lvlJc w:val="left"/>
      <w:pPr>
        <w:ind w:left="7904" w:hanging="604"/>
      </w:pPr>
      <w:rPr>
        <w:rFonts w:hint="default"/>
      </w:rPr>
    </w:lvl>
  </w:abstractNum>
  <w:abstractNum w:abstractNumId="33">
    <w:nsid w:val="F7735DC9"/>
    <w:multiLevelType w:val="multilevel"/>
    <w:tmpl w:val="F7735DC9"/>
    <w:lvl w:ilvl="0" w:tentative="0">
      <w:start w:val="1"/>
      <w:numFmt w:val="decimal"/>
      <w:lvlText w:val="（%1）"/>
      <w:lvlJc w:val="left"/>
      <w:pPr>
        <w:ind w:left="220" w:hanging="604"/>
        <w:jc w:val="left"/>
      </w:pPr>
      <w:rPr>
        <w:rFonts w:hint="default" w:ascii="宋体" w:hAnsi="宋体" w:eastAsia="宋体" w:cs="宋体"/>
        <w:w w:val="100"/>
        <w:sz w:val="22"/>
        <w:szCs w:val="22"/>
      </w:rPr>
    </w:lvl>
    <w:lvl w:ilvl="1" w:tentative="0">
      <w:start w:val="0"/>
      <w:numFmt w:val="bullet"/>
      <w:lvlText w:val="•"/>
      <w:lvlJc w:val="left"/>
      <w:pPr>
        <w:ind w:left="1180" w:hanging="604"/>
      </w:pPr>
      <w:rPr>
        <w:rFonts w:hint="default"/>
      </w:rPr>
    </w:lvl>
    <w:lvl w:ilvl="2" w:tentative="0">
      <w:start w:val="0"/>
      <w:numFmt w:val="bullet"/>
      <w:lvlText w:val="•"/>
      <w:lvlJc w:val="left"/>
      <w:pPr>
        <w:ind w:left="2141" w:hanging="604"/>
      </w:pPr>
      <w:rPr>
        <w:rFonts w:hint="default"/>
      </w:rPr>
    </w:lvl>
    <w:lvl w:ilvl="3" w:tentative="0">
      <w:start w:val="0"/>
      <w:numFmt w:val="bullet"/>
      <w:lvlText w:val="•"/>
      <w:lvlJc w:val="left"/>
      <w:pPr>
        <w:ind w:left="3101" w:hanging="604"/>
      </w:pPr>
      <w:rPr>
        <w:rFonts w:hint="default"/>
      </w:rPr>
    </w:lvl>
    <w:lvl w:ilvl="4" w:tentative="0">
      <w:start w:val="0"/>
      <w:numFmt w:val="bullet"/>
      <w:lvlText w:val="•"/>
      <w:lvlJc w:val="left"/>
      <w:pPr>
        <w:ind w:left="4062" w:hanging="604"/>
      </w:pPr>
      <w:rPr>
        <w:rFonts w:hint="default"/>
      </w:rPr>
    </w:lvl>
    <w:lvl w:ilvl="5" w:tentative="0">
      <w:start w:val="0"/>
      <w:numFmt w:val="bullet"/>
      <w:lvlText w:val="•"/>
      <w:lvlJc w:val="left"/>
      <w:pPr>
        <w:ind w:left="5023" w:hanging="604"/>
      </w:pPr>
      <w:rPr>
        <w:rFonts w:hint="default"/>
      </w:rPr>
    </w:lvl>
    <w:lvl w:ilvl="6" w:tentative="0">
      <w:start w:val="0"/>
      <w:numFmt w:val="bullet"/>
      <w:lvlText w:val="•"/>
      <w:lvlJc w:val="left"/>
      <w:pPr>
        <w:ind w:left="5983" w:hanging="604"/>
      </w:pPr>
      <w:rPr>
        <w:rFonts w:hint="default"/>
      </w:rPr>
    </w:lvl>
    <w:lvl w:ilvl="7" w:tentative="0">
      <w:start w:val="0"/>
      <w:numFmt w:val="bullet"/>
      <w:lvlText w:val="•"/>
      <w:lvlJc w:val="left"/>
      <w:pPr>
        <w:ind w:left="6944" w:hanging="604"/>
      </w:pPr>
      <w:rPr>
        <w:rFonts w:hint="default"/>
      </w:rPr>
    </w:lvl>
    <w:lvl w:ilvl="8" w:tentative="0">
      <w:start w:val="0"/>
      <w:numFmt w:val="bullet"/>
      <w:lvlText w:val="•"/>
      <w:lvlJc w:val="left"/>
      <w:pPr>
        <w:ind w:left="7904" w:hanging="604"/>
      </w:pPr>
      <w:rPr>
        <w:rFonts w:hint="default"/>
      </w:rPr>
    </w:lvl>
  </w:abstractNum>
  <w:abstractNum w:abstractNumId="34">
    <w:nsid w:val="0053208E"/>
    <w:multiLevelType w:val="multilevel"/>
    <w:tmpl w:val="0053208E"/>
    <w:lvl w:ilvl="0" w:tentative="0">
      <w:start w:val="6"/>
      <w:numFmt w:val="decimal"/>
      <w:lvlText w:val="%1"/>
      <w:lvlJc w:val="left"/>
      <w:pPr>
        <w:ind w:left="1062" w:hanging="363"/>
        <w:jc w:val="left"/>
      </w:pPr>
      <w:rPr>
        <w:rFonts w:hint="default"/>
      </w:rPr>
    </w:lvl>
    <w:lvl w:ilvl="1" w:tentative="0">
      <w:start w:val="1"/>
      <w:numFmt w:val="decimal"/>
      <w:lvlText w:val="%1.%2"/>
      <w:lvlJc w:val="left"/>
      <w:pPr>
        <w:ind w:left="1062" w:hanging="363"/>
        <w:jc w:val="left"/>
      </w:pPr>
      <w:rPr>
        <w:rFonts w:hint="default" w:ascii="Calibri" w:hAnsi="Calibri" w:eastAsia="Calibri" w:cs="Calibri"/>
        <w:spacing w:val="-1"/>
        <w:w w:val="100"/>
        <w:sz w:val="24"/>
        <w:szCs w:val="24"/>
      </w:rPr>
    </w:lvl>
    <w:lvl w:ilvl="2" w:tentative="0">
      <w:start w:val="0"/>
      <w:numFmt w:val="bullet"/>
      <w:lvlText w:val="•"/>
      <w:lvlJc w:val="left"/>
      <w:pPr>
        <w:ind w:left="2813" w:hanging="363"/>
      </w:pPr>
      <w:rPr>
        <w:rFonts w:hint="default"/>
      </w:rPr>
    </w:lvl>
    <w:lvl w:ilvl="3" w:tentative="0">
      <w:start w:val="0"/>
      <w:numFmt w:val="bullet"/>
      <w:lvlText w:val="•"/>
      <w:lvlJc w:val="left"/>
      <w:pPr>
        <w:ind w:left="3689" w:hanging="363"/>
      </w:pPr>
      <w:rPr>
        <w:rFonts w:hint="default"/>
      </w:rPr>
    </w:lvl>
    <w:lvl w:ilvl="4" w:tentative="0">
      <w:start w:val="0"/>
      <w:numFmt w:val="bullet"/>
      <w:lvlText w:val="•"/>
      <w:lvlJc w:val="left"/>
      <w:pPr>
        <w:ind w:left="4566" w:hanging="363"/>
      </w:pPr>
      <w:rPr>
        <w:rFonts w:hint="default"/>
      </w:rPr>
    </w:lvl>
    <w:lvl w:ilvl="5" w:tentative="0">
      <w:start w:val="0"/>
      <w:numFmt w:val="bullet"/>
      <w:lvlText w:val="•"/>
      <w:lvlJc w:val="left"/>
      <w:pPr>
        <w:ind w:left="5443" w:hanging="363"/>
      </w:pPr>
      <w:rPr>
        <w:rFonts w:hint="default"/>
      </w:rPr>
    </w:lvl>
    <w:lvl w:ilvl="6" w:tentative="0">
      <w:start w:val="0"/>
      <w:numFmt w:val="bullet"/>
      <w:lvlText w:val="•"/>
      <w:lvlJc w:val="left"/>
      <w:pPr>
        <w:ind w:left="6319" w:hanging="363"/>
      </w:pPr>
      <w:rPr>
        <w:rFonts w:hint="default"/>
      </w:rPr>
    </w:lvl>
    <w:lvl w:ilvl="7" w:tentative="0">
      <w:start w:val="0"/>
      <w:numFmt w:val="bullet"/>
      <w:lvlText w:val="•"/>
      <w:lvlJc w:val="left"/>
      <w:pPr>
        <w:ind w:left="7196" w:hanging="363"/>
      </w:pPr>
      <w:rPr>
        <w:rFonts w:hint="default"/>
      </w:rPr>
    </w:lvl>
    <w:lvl w:ilvl="8" w:tentative="0">
      <w:start w:val="0"/>
      <w:numFmt w:val="bullet"/>
      <w:lvlText w:val="•"/>
      <w:lvlJc w:val="left"/>
      <w:pPr>
        <w:ind w:left="8072" w:hanging="363"/>
      </w:pPr>
      <w:rPr>
        <w:rFonts w:hint="default"/>
      </w:rPr>
    </w:lvl>
  </w:abstractNum>
  <w:abstractNum w:abstractNumId="35">
    <w:nsid w:val="01D7E1C7"/>
    <w:multiLevelType w:val="multilevel"/>
    <w:tmpl w:val="01D7E1C7"/>
    <w:lvl w:ilvl="0" w:tentative="0">
      <w:start w:val="1"/>
      <w:numFmt w:val="decimal"/>
      <w:lvlText w:val="%1"/>
      <w:lvlJc w:val="left"/>
      <w:pPr>
        <w:ind w:left="220" w:hanging="306"/>
        <w:jc w:val="left"/>
      </w:pPr>
      <w:rPr>
        <w:rFonts w:hint="default"/>
      </w:rPr>
    </w:lvl>
    <w:lvl w:ilvl="1" w:tentative="0">
      <w:start w:val="1"/>
      <w:numFmt w:val="decimal"/>
      <w:lvlText w:val="%1.%2"/>
      <w:lvlJc w:val="left"/>
      <w:pPr>
        <w:ind w:left="220" w:hanging="306"/>
        <w:jc w:val="left"/>
      </w:pPr>
      <w:rPr>
        <w:rFonts w:hint="default" w:ascii="Calibri" w:hAnsi="Calibri" w:eastAsia="Calibri" w:cs="Calibri"/>
        <w:spacing w:val="-1"/>
        <w:w w:val="100"/>
        <w:sz w:val="22"/>
        <w:szCs w:val="22"/>
      </w:rPr>
    </w:lvl>
    <w:lvl w:ilvl="2" w:tentative="0">
      <w:start w:val="0"/>
      <w:numFmt w:val="bullet"/>
      <w:lvlText w:val="•"/>
      <w:lvlJc w:val="left"/>
      <w:pPr>
        <w:ind w:left="2141" w:hanging="306"/>
      </w:pPr>
      <w:rPr>
        <w:rFonts w:hint="default"/>
      </w:rPr>
    </w:lvl>
    <w:lvl w:ilvl="3" w:tentative="0">
      <w:start w:val="0"/>
      <w:numFmt w:val="bullet"/>
      <w:lvlText w:val="•"/>
      <w:lvlJc w:val="left"/>
      <w:pPr>
        <w:ind w:left="3101" w:hanging="306"/>
      </w:pPr>
      <w:rPr>
        <w:rFonts w:hint="default"/>
      </w:rPr>
    </w:lvl>
    <w:lvl w:ilvl="4" w:tentative="0">
      <w:start w:val="0"/>
      <w:numFmt w:val="bullet"/>
      <w:lvlText w:val="•"/>
      <w:lvlJc w:val="left"/>
      <w:pPr>
        <w:ind w:left="4062" w:hanging="306"/>
      </w:pPr>
      <w:rPr>
        <w:rFonts w:hint="default"/>
      </w:rPr>
    </w:lvl>
    <w:lvl w:ilvl="5" w:tentative="0">
      <w:start w:val="0"/>
      <w:numFmt w:val="bullet"/>
      <w:lvlText w:val="•"/>
      <w:lvlJc w:val="left"/>
      <w:pPr>
        <w:ind w:left="5023" w:hanging="306"/>
      </w:pPr>
      <w:rPr>
        <w:rFonts w:hint="default"/>
      </w:rPr>
    </w:lvl>
    <w:lvl w:ilvl="6" w:tentative="0">
      <w:start w:val="0"/>
      <w:numFmt w:val="bullet"/>
      <w:lvlText w:val="•"/>
      <w:lvlJc w:val="left"/>
      <w:pPr>
        <w:ind w:left="5983" w:hanging="306"/>
      </w:pPr>
      <w:rPr>
        <w:rFonts w:hint="default"/>
      </w:rPr>
    </w:lvl>
    <w:lvl w:ilvl="7" w:tentative="0">
      <w:start w:val="0"/>
      <w:numFmt w:val="bullet"/>
      <w:lvlText w:val="•"/>
      <w:lvlJc w:val="left"/>
      <w:pPr>
        <w:ind w:left="6944" w:hanging="306"/>
      </w:pPr>
      <w:rPr>
        <w:rFonts w:hint="default"/>
      </w:rPr>
    </w:lvl>
    <w:lvl w:ilvl="8" w:tentative="0">
      <w:start w:val="0"/>
      <w:numFmt w:val="bullet"/>
      <w:lvlText w:val="•"/>
      <w:lvlJc w:val="left"/>
      <w:pPr>
        <w:ind w:left="7904" w:hanging="306"/>
      </w:pPr>
      <w:rPr>
        <w:rFonts w:hint="default"/>
      </w:rPr>
    </w:lvl>
  </w:abstractNum>
  <w:abstractNum w:abstractNumId="36">
    <w:nsid w:val="0248C179"/>
    <w:multiLevelType w:val="multilevel"/>
    <w:tmpl w:val="0248C179"/>
    <w:lvl w:ilvl="0" w:tentative="0">
      <w:start w:val="2"/>
      <w:numFmt w:val="decimal"/>
      <w:lvlText w:val="%1"/>
      <w:lvlJc w:val="left"/>
      <w:pPr>
        <w:ind w:left="1005" w:hanging="306"/>
        <w:jc w:val="left"/>
      </w:pPr>
      <w:rPr>
        <w:rFonts w:hint="default"/>
      </w:rPr>
    </w:lvl>
    <w:lvl w:ilvl="1" w:tentative="0">
      <w:start w:val="1"/>
      <w:numFmt w:val="decimal"/>
      <w:lvlText w:val="%1.%2"/>
      <w:lvlJc w:val="left"/>
      <w:pPr>
        <w:ind w:left="1005" w:hanging="306"/>
        <w:jc w:val="left"/>
      </w:pPr>
      <w:rPr>
        <w:rFonts w:hint="default" w:ascii="Calibri" w:hAnsi="Calibri" w:eastAsia="Calibri" w:cs="Calibri"/>
        <w:spacing w:val="-2"/>
        <w:w w:val="100"/>
        <w:sz w:val="22"/>
        <w:szCs w:val="22"/>
      </w:rPr>
    </w:lvl>
    <w:lvl w:ilvl="2" w:tentative="0">
      <w:start w:val="0"/>
      <w:numFmt w:val="bullet"/>
      <w:lvlText w:val="•"/>
      <w:lvlJc w:val="left"/>
      <w:pPr>
        <w:ind w:left="2765" w:hanging="306"/>
      </w:pPr>
      <w:rPr>
        <w:rFonts w:hint="default"/>
      </w:rPr>
    </w:lvl>
    <w:lvl w:ilvl="3" w:tentative="0">
      <w:start w:val="0"/>
      <w:numFmt w:val="bullet"/>
      <w:lvlText w:val="•"/>
      <w:lvlJc w:val="left"/>
      <w:pPr>
        <w:ind w:left="3647" w:hanging="306"/>
      </w:pPr>
      <w:rPr>
        <w:rFonts w:hint="default"/>
      </w:rPr>
    </w:lvl>
    <w:lvl w:ilvl="4" w:tentative="0">
      <w:start w:val="0"/>
      <w:numFmt w:val="bullet"/>
      <w:lvlText w:val="•"/>
      <w:lvlJc w:val="left"/>
      <w:pPr>
        <w:ind w:left="4530" w:hanging="306"/>
      </w:pPr>
      <w:rPr>
        <w:rFonts w:hint="default"/>
      </w:rPr>
    </w:lvl>
    <w:lvl w:ilvl="5" w:tentative="0">
      <w:start w:val="0"/>
      <w:numFmt w:val="bullet"/>
      <w:lvlText w:val="•"/>
      <w:lvlJc w:val="left"/>
      <w:pPr>
        <w:ind w:left="5413" w:hanging="306"/>
      </w:pPr>
      <w:rPr>
        <w:rFonts w:hint="default"/>
      </w:rPr>
    </w:lvl>
    <w:lvl w:ilvl="6" w:tentative="0">
      <w:start w:val="0"/>
      <w:numFmt w:val="bullet"/>
      <w:lvlText w:val="•"/>
      <w:lvlJc w:val="left"/>
      <w:pPr>
        <w:ind w:left="6295" w:hanging="306"/>
      </w:pPr>
      <w:rPr>
        <w:rFonts w:hint="default"/>
      </w:rPr>
    </w:lvl>
    <w:lvl w:ilvl="7" w:tentative="0">
      <w:start w:val="0"/>
      <w:numFmt w:val="bullet"/>
      <w:lvlText w:val="•"/>
      <w:lvlJc w:val="left"/>
      <w:pPr>
        <w:ind w:left="7178" w:hanging="306"/>
      </w:pPr>
      <w:rPr>
        <w:rFonts w:hint="default"/>
      </w:rPr>
    </w:lvl>
    <w:lvl w:ilvl="8" w:tentative="0">
      <w:start w:val="0"/>
      <w:numFmt w:val="bullet"/>
      <w:lvlText w:val="•"/>
      <w:lvlJc w:val="left"/>
      <w:pPr>
        <w:ind w:left="8060" w:hanging="306"/>
      </w:pPr>
      <w:rPr>
        <w:rFonts w:hint="default"/>
      </w:rPr>
    </w:lvl>
  </w:abstractNum>
  <w:abstractNum w:abstractNumId="37">
    <w:nsid w:val="0709FD3E"/>
    <w:multiLevelType w:val="multilevel"/>
    <w:tmpl w:val="0709FD3E"/>
    <w:lvl w:ilvl="0" w:tentative="0">
      <w:start w:val="6"/>
      <w:numFmt w:val="decimal"/>
      <w:lvlText w:val="%1"/>
      <w:lvlJc w:val="left"/>
      <w:pPr>
        <w:ind w:left="1062" w:hanging="363"/>
        <w:jc w:val="left"/>
      </w:pPr>
      <w:rPr>
        <w:rFonts w:hint="default"/>
      </w:rPr>
    </w:lvl>
    <w:lvl w:ilvl="1" w:tentative="0">
      <w:start w:val="1"/>
      <w:numFmt w:val="decimal"/>
      <w:lvlText w:val="%1.%2"/>
      <w:lvlJc w:val="left"/>
      <w:pPr>
        <w:ind w:left="1062" w:hanging="363"/>
        <w:jc w:val="left"/>
      </w:pPr>
      <w:rPr>
        <w:rFonts w:hint="default" w:ascii="Calibri" w:hAnsi="Calibri" w:eastAsia="Calibri" w:cs="Calibri"/>
        <w:spacing w:val="-1"/>
        <w:w w:val="100"/>
        <w:sz w:val="24"/>
        <w:szCs w:val="24"/>
      </w:rPr>
    </w:lvl>
    <w:lvl w:ilvl="2" w:tentative="0">
      <w:start w:val="0"/>
      <w:numFmt w:val="bullet"/>
      <w:lvlText w:val="•"/>
      <w:lvlJc w:val="left"/>
      <w:pPr>
        <w:ind w:left="2813" w:hanging="363"/>
      </w:pPr>
      <w:rPr>
        <w:rFonts w:hint="default"/>
      </w:rPr>
    </w:lvl>
    <w:lvl w:ilvl="3" w:tentative="0">
      <w:start w:val="0"/>
      <w:numFmt w:val="bullet"/>
      <w:lvlText w:val="•"/>
      <w:lvlJc w:val="left"/>
      <w:pPr>
        <w:ind w:left="3689" w:hanging="363"/>
      </w:pPr>
      <w:rPr>
        <w:rFonts w:hint="default"/>
      </w:rPr>
    </w:lvl>
    <w:lvl w:ilvl="4" w:tentative="0">
      <w:start w:val="0"/>
      <w:numFmt w:val="bullet"/>
      <w:lvlText w:val="•"/>
      <w:lvlJc w:val="left"/>
      <w:pPr>
        <w:ind w:left="4566" w:hanging="363"/>
      </w:pPr>
      <w:rPr>
        <w:rFonts w:hint="default"/>
      </w:rPr>
    </w:lvl>
    <w:lvl w:ilvl="5" w:tentative="0">
      <w:start w:val="0"/>
      <w:numFmt w:val="bullet"/>
      <w:lvlText w:val="•"/>
      <w:lvlJc w:val="left"/>
      <w:pPr>
        <w:ind w:left="5443" w:hanging="363"/>
      </w:pPr>
      <w:rPr>
        <w:rFonts w:hint="default"/>
      </w:rPr>
    </w:lvl>
    <w:lvl w:ilvl="6" w:tentative="0">
      <w:start w:val="0"/>
      <w:numFmt w:val="bullet"/>
      <w:lvlText w:val="•"/>
      <w:lvlJc w:val="left"/>
      <w:pPr>
        <w:ind w:left="6319" w:hanging="363"/>
      </w:pPr>
      <w:rPr>
        <w:rFonts w:hint="default"/>
      </w:rPr>
    </w:lvl>
    <w:lvl w:ilvl="7" w:tentative="0">
      <w:start w:val="0"/>
      <w:numFmt w:val="bullet"/>
      <w:lvlText w:val="•"/>
      <w:lvlJc w:val="left"/>
      <w:pPr>
        <w:ind w:left="7196" w:hanging="363"/>
      </w:pPr>
      <w:rPr>
        <w:rFonts w:hint="default"/>
      </w:rPr>
    </w:lvl>
    <w:lvl w:ilvl="8" w:tentative="0">
      <w:start w:val="0"/>
      <w:numFmt w:val="bullet"/>
      <w:lvlText w:val="•"/>
      <w:lvlJc w:val="left"/>
      <w:pPr>
        <w:ind w:left="8072" w:hanging="363"/>
      </w:pPr>
      <w:rPr>
        <w:rFonts w:hint="default"/>
      </w:rPr>
    </w:lvl>
  </w:abstractNum>
  <w:abstractNum w:abstractNumId="38">
    <w:nsid w:val="0C0E1E13"/>
    <w:multiLevelType w:val="multilevel"/>
    <w:tmpl w:val="0C0E1E13"/>
    <w:lvl w:ilvl="0" w:tentative="0">
      <w:start w:val="2"/>
      <w:numFmt w:val="decimal"/>
      <w:lvlText w:val="%1"/>
      <w:lvlJc w:val="left"/>
      <w:pPr>
        <w:ind w:left="220" w:hanging="365"/>
        <w:jc w:val="left"/>
      </w:pPr>
      <w:rPr>
        <w:rFonts w:hint="default"/>
      </w:rPr>
    </w:lvl>
    <w:lvl w:ilvl="1" w:tentative="0">
      <w:start w:val="1"/>
      <w:numFmt w:val="decimal"/>
      <w:lvlText w:val="%1.%2"/>
      <w:lvlJc w:val="left"/>
      <w:pPr>
        <w:ind w:left="220" w:hanging="365"/>
        <w:jc w:val="left"/>
      </w:pPr>
      <w:rPr>
        <w:rFonts w:hint="default" w:ascii="Calibri" w:hAnsi="Calibri" w:eastAsia="Calibri" w:cs="Calibri"/>
        <w:spacing w:val="-1"/>
        <w:w w:val="100"/>
        <w:sz w:val="24"/>
        <w:szCs w:val="24"/>
      </w:rPr>
    </w:lvl>
    <w:lvl w:ilvl="2" w:tentative="0">
      <w:start w:val="0"/>
      <w:numFmt w:val="bullet"/>
      <w:lvlText w:val="•"/>
      <w:lvlJc w:val="left"/>
      <w:pPr>
        <w:ind w:left="2141" w:hanging="365"/>
      </w:pPr>
      <w:rPr>
        <w:rFonts w:hint="default"/>
      </w:rPr>
    </w:lvl>
    <w:lvl w:ilvl="3" w:tentative="0">
      <w:start w:val="0"/>
      <w:numFmt w:val="bullet"/>
      <w:lvlText w:val="•"/>
      <w:lvlJc w:val="left"/>
      <w:pPr>
        <w:ind w:left="3101" w:hanging="365"/>
      </w:pPr>
      <w:rPr>
        <w:rFonts w:hint="default"/>
      </w:rPr>
    </w:lvl>
    <w:lvl w:ilvl="4" w:tentative="0">
      <w:start w:val="0"/>
      <w:numFmt w:val="bullet"/>
      <w:lvlText w:val="•"/>
      <w:lvlJc w:val="left"/>
      <w:pPr>
        <w:ind w:left="4062" w:hanging="365"/>
      </w:pPr>
      <w:rPr>
        <w:rFonts w:hint="default"/>
      </w:rPr>
    </w:lvl>
    <w:lvl w:ilvl="5" w:tentative="0">
      <w:start w:val="0"/>
      <w:numFmt w:val="bullet"/>
      <w:lvlText w:val="•"/>
      <w:lvlJc w:val="left"/>
      <w:pPr>
        <w:ind w:left="5023" w:hanging="365"/>
      </w:pPr>
      <w:rPr>
        <w:rFonts w:hint="default"/>
      </w:rPr>
    </w:lvl>
    <w:lvl w:ilvl="6" w:tentative="0">
      <w:start w:val="0"/>
      <w:numFmt w:val="bullet"/>
      <w:lvlText w:val="•"/>
      <w:lvlJc w:val="left"/>
      <w:pPr>
        <w:ind w:left="5983" w:hanging="365"/>
      </w:pPr>
      <w:rPr>
        <w:rFonts w:hint="default"/>
      </w:rPr>
    </w:lvl>
    <w:lvl w:ilvl="7" w:tentative="0">
      <w:start w:val="0"/>
      <w:numFmt w:val="bullet"/>
      <w:lvlText w:val="•"/>
      <w:lvlJc w:val="left"/>
      <w:pPr>
        <w:ind w:left="6944" w:hanging="365"/>
      </w:pPr>
      <w:rPr>
        <w:rFonts w:hint="default"/>
      </w:rPr>
    </w:lvl>
    <w:lvl w:ilvl="8" w:tentative="0">
      <w:start w:val="0"/>
      <w:numFmt w:val="bullet"/>
      <w:lvlText w:val="•"/>
      <w:lvlJc w:val="left"/>
      <w:pPr>
        <w:ind w:left="7904" w:hanging="365"/>
      </w:pPr>
      <w:rPr>
        <w:rFonts w:hint="default"/>
      </w:rPr>
    </w:lvl>
  </w:abstractNum>
  <w:abstractNum w:abstractNumId="39">
    <w:nsid w:val="0CEF100B"/>
    <w:multiLevelType w:val="multilevel"/>
    <w:tmpl w:val="0CEF100B"/>
    <w:lvl w:ilvl="0" w:tentative="0">
      <w:start w:val="1"/>
      <w:numFmt w:val="decimal"/>
      <w:lvlText w:val="（%1）"/>
      <w:lvlJc w:val="left"/>
      <w:pPr>
        <w:ind w:left="220" w:hanging="604"/>
        <w:jc w:val="left"/>
      </w:pPr>
      <w:rPr>
        <w:rFonts w:hint="default" w:ascii="宋体" w:hAnsi="宋体" w:eastAsia="宋体" w:cs="宋体"/>
        <w:w w:val="100"/>
        <w:sz w:val="22"/>
        <w:szCs w:val="22"/>
      </w:rPr>
    </w:lvl>
    <w:lvl w:ilvl="1" w:tentative="0">
      <w:start w:val="0"/>
      <w:numFmt w:val="bullet"/>
      <w:lvlText w:val="•"/>
      <w:lvlJc w:val="left"/>
      <w:pPr>
        <w:ind w:left="1180" w:hanging="604"/>
      </w:pPr>
      <w:rPr>
        <w:rFonts w:hint="default"/>
      </w:rPr>
    </w:lvl>
    <w:lvl w:ilvl="2" w:tentative="0">
      <w:start w:val="0"/>
      <w:numFmt w:val="bullet"/>
      <w:lvlText w:val="•"/>
      <w:lvlJc w:val="left"/>
      <w:pPr>
        <w:ind w:left="2141" w:hanging="604"/>
      </w:pPr>
      <w:rPr>
        <w:rFonts w:hint="default"/>
      </w:rPr>
    </w:lvl>
    <w:lvl w:ilvl="3" w:tentative="0">
      <w:start w:val="0"/>
      <w:numFmt w:val="bullet"/>
      <w:lvlText w:val="•"/>
      <w:lvlJc w:val="left"/>
      <w:pPr>
        <w:ind w:left="3101" w:hanging="604"/>
      </w:pPr>
      <w:rPr>
        <w:rFonts w:hint="default"/>
      </w:rPr>
    </w:lvl>
    <w:lvl w:ilvl="4" w:tentative="0">
      <w:start w:val="0"/>
      <w:numFmt w:val="bullet"/>
      <w:lvlText w:val="•"/>
      <w:lvlJc w:val="left"/>
      <w:pPr>
        <w:ind w:left="4062" w:hanging="604"/>
      </w:pPr>
      <w:rPr>
        <w:rFonts w:hint="default"/>
      </w:rPr>
    </w:lvl>
    <w:lvl w:ilvl="5" w:tentative="0">
      <w:start w:val="0"/>
      <w:numFmt w:val="bullet"/>
      <w:lvlText w:val="•"/>
      <w:lvlJc w:val="left"/>
      <w:pPr>
        <w:ind w:left="5023" w:hanging="604"/>
      </w:pPr>
      <w:rPr>
        <w:rFonts w:hint="default"/>
      </w:rPr>
    </w:lvl>
    <w:lvl w:ilvl="6" w:tentative="0">
      <w:start w:val="0"/>
      <w:numFmt w:val="bullet"/>
      <w:lvlText w:val="•"/>
      <w:lvlJc w:val="left"/>
      <w:pPr>
        <w:ind w:left="5983" w:hanging="604"/>
      </w:pPr>
      <w:rPr>
        <w:rFonts w:hint="default"/>
      </w:rPr>
    </w:lvl>
    <w:lvl w:ilvl="7" w:tentative="0">
      <w:start w:val="0"/>
      <w:numFmt w:val="bullet"/>
      <w:lvlText w:val="•"/>
      <w:lvlJc w:val="left"/>
      <w:pPr>
        <w:ind w:left="6944" w:hanging="604"/>
      </w:pPr>
      <w:rPr>
        <w:rFonts w:hint="default"/>
      </w:rPr>
    </w:lvl>
    <w:lvl w:ilvl="8" w:tentative="0">
      <w:start w:val="0"/>
      <w:numFmt w:val="bullet"/>
      <w:lvlText w:val="•"/>
      <w:lvlJc w:val="left"/>
      <w:pPr>
        <w:ind w:left="7904" w:hanging="604"/>
      </w:pPr>
      <w:rPr>
        <w:rFonts w:hint="default"/>
      </w:rPr>
    </w:lvl>
  </w:abstractNum>
  <w:abstractNum w:abstractNumId="40">
    <w:nsid w:val="0DC629B0"/>
    <w:multiLevelType w:val="multilevel"/>
    <w:tmpl w:val="0DC629B0"/>
    <w:lvl w:ilvl="0" w:tentative="0">
      <w:start w:val="1"/>
      <w:numFmt w:val="decimal"/>
      <w:lvlText w:val="%1"/>
      <w:lvlJc w:val="left"/>
      <w:pPr>
        <w:ind w:left="1062" w:hanging="363"/>
        <w:jc w:val="left"/>
      </w:pPr>
      <w:rPr>
        <w:rFonts w:hint="default"/>
      </w:rPr>
    </w:lvl>
    <w:lvl w:ilvl="1" w:tentative="0">
      <w:start w:val="1"/>
      <w:numFmt w:val="decimal"/>
      <w:lvlText w:val="%1.%2"/>
      <w:lvlJc w:val="left"/>
      <w:pPr>
        <w:ind w:left="1062" w:hanging="363"/>
        <w:jc w:val="left"/>
      </w:pPr>
      <w:rPr>
        <w:rFonts w:hint="default" w:ascii="Calibri" w:hAnsi="Calibri" w:eastAsia="Calibri" w:cs="Calibri"/>
        <w:spacing w:val="-1"/>
        <w:w w:val="100"/>
        <w:sz w:val="24"/>
        <w:szCs w:val="24"/>
      </w:rPr>
    </w:lvl>
    <w:lvl w:ilvl="2" w:tentative="0">
      <w:start w:val="0"/>
      <w:numFmt w:val="bullet"/>
      <w:lvlText w:val="•"/>
      <w:lvlJc w:val="left"/>
      <w:pPr>
        <w:ind w:left="2813" w:hanging="363"/>
      </w:pPr>
      <w:rPr>
        <w:rFonts w:hint="default"/>
      </w:rPr>
    </w:lvl>
    <w:lvl w:ilvl="3" w:tentative="0">
      <w:start w:val="0"/>
      <w:numFmt w:val="bullet"/>
      <w:lvlText w:val="•"/>
      <w:lvlJc w:val="left"/>
      <w:pPr>
        <w:ind w:left="3689" w:hanging="363"/>
      </w:pPr>
      <w:rPr>
        <w:rFonts w:hint="default"/>
      </w:rPr>
    </w:lvl>
    <w:lvl w:ilvl="4" w:tentative="0">
      <w:start w:val="0"/>
      <w:numFmt w:val="bullet"/>
      <w:lvlText w:val="•"/>
      <w:lvlJc w:val="left"/>
      <w:pPr>
        <w:ind w:left="4566" w:hanging="363"/>
      </w:pPr>
      <w:rPr>
        <w:rFonts w:hint="default"/>
      </w:rPr>
    </w:lvl>
    <w:lvl w:ilvl="5" w:tentative="0">
      <w:start w:val="0"/>
      <w:numFmt w:val="bullet"/>
      <w:lvlText w:val="•"/>
      <w:lvlJc w:val="left"/>
      <w:pPr>
        <w:ind w:left="5443" w:hanging="363"/>
      </w:pPr>
      <w:rPr>
        <w:rFonts w:hint="default"/>
      </w:rPr>
    </w:lvl>
    <w:lvl w:ilvl="6" w:tentative="0">
      <w:start w:val="0"/>
      <w:numFmt w:val="bullet"/>
      <w:lvlText w:val="•"/>
      <w:lvlJc w:val="left"/>
      <w:pPr>
        <w:ind w:left="6319" w:hanging="363"/>
      </w:pPr>
      <w:rPr>
        <w:rFonts w:hint="default"/>
      </w:rPr>
    </w:lvl>
    <w:lvl w:ilvl="7" w:tentative="0">
      <w:start w:val="0"/>
      <w:numFmt w:val="bullet"/>
      <w:lvlText w:val="•"/>
      <w:lvlJc w:val="left"/>
      <w:pPr>
        <w:ind w:left="7196" w:hanging="363"/>
      </w:pPr>
      <w:rPr>
        <w:rFonts w:hint="default"/>
      </w:rPr>
    </w:lvl>
    <w:lvl w:ilvl="8" w:tentative="0">
      <w:start w:val="0"/>
      <w:numFmt w:val="bullet"/>
      <w:lvlText w:val="•"/>
      <w:lvlJc w:val="left"/>
      <w:pPr>
        <w:ind w:left="8072" w:hanging="363"/>
      </w:pPr>
      <w:rPr>
        <w:rFonts w:hint="default"/>
      </w:rPr>
    </w:lvl>
  </w:abstractNum>
  <w:abstractNum w:abstractNumId="41">
    <w:nsid w:val="0E640482"/>
    <w:multiLevelType w:val="multilevel"/>
    <w:tmpl w:val="0E640482"/>
    <w:lvl w:ilvl="0" w:tentative="0">
      <w:start w:val="1"/>
      <w:numFmt w:val="decimal"/>
      <w:lvlText w:val="（%1）"/>
      <w:lvlJc w:val="left"/>
      <w:pPr>
        <w:ind w:left="1301" w:hanging="601"/>
        <w:jc w:val="left"/>
      </w:pPr>
      <w:rPr>
        <w:rFonts w:hint="default" w:ascii="宋体" w:hAnsi="宋体" w:eastAsia="宋体" w:cs="宋体"/>
        <w:spacing w:val="-2"/>
        <w:w w:val="100"/>
        <w:sz w:val="22"/>
        <w:szCs w:val="22"/>
      </w:rPr>
    </w:lvl>
    <w:lvl w:ilvl="1" w:tentative="0">
      <w:start w:val="0"/>
      <w:numFmt w:val="bullet"/>
      <w:lvlText w:val="•"/>
      <w:lvlJc w:val="left"/>
      <w:pPr>
        <w:ind w:left="2152" w:hanging="601"/>
      </w:pPr>
      <w:rPr>
        <w:rFonts w:hint="default"/>
      </w:rPr>
    </w:lvl>
    <w:lvl w:ilvl="2" w:tentative="0">
      <w:start w:val="0"/>
      <w:numFmt w:val="bullet"/>
      <w:lvlText w:val="•"/>
      <w:lvlJc w:val="left"/>
      <w:pPr>
        <w:ind w:left="3005" w:hanging="601"/>
      </w:pPr>
      <w:rPr>
        <w:rFonts w:hint="default"/>
      </w:rPr>
    </w:lvl>
    <w:lvl w:ilvl="3" w:tentative="0">
      <w:start w:val="0"/>
      <w:numFmt w:val="bullet"/>
      <w:lvlText w:val="•"/>
      <w:lvlJc w:val="left"/>
      <w:pPr>
        <w:ind w:left="3857" w:hanging="601"/>
      </w:pPr>
      <w:rPr>
        <w:rFonts w:hint="default"/>
      </w:rPr>
    </w:lvl>
    <w:lvl w:ilvl="4" w:tentative="0">
      <w:start w:val="0"/>
      <w:numFmt w:val="bullet"/>
      <w:lvlText w:val="•"/>
      <w:lvlJc w:val="left"/>
      <w:pPr>
        <w:ind w:left="4710" w:hanging="601"/>
      </w:pPr>
      <w:rPr>
        <w:rFonts w:hint="default"/>
      </w:rPr>
    </w:lvl>
    <w:lvl w:ilvl="5" w:tentative="0">
      <w:start w:val="0"/>
      <w:numFmt w:val="bullet"/>
      <w:lvlText w:val="•"/>
      <w:lvlJc w:val="left"/>
      <w:pPr>
        <w:ind w:left="5563" w:hanging="601"/>
      </w:pPr>
      <w:rPr>
        <w:rFonts w:hint="default"/>
      </w:rPr>
    </w:lvl>
    <w:lvl w:ilvl="6" w:tentative="0">
      <w:start w:val="0"/>
      <w:numFmt w:val="bullet"/>
      <w:lvlText w:val="•"/>
      <w:lvlJc w:val="left"/>
      <w:pPr>
        <w:ind w:left="6415" w:hanging="601"/>
      </w:pPr>
      <w:rPr>
        <w:rFonts w:hint="default"/>
      </w:rPr>
    </w:lvl>
    <w:lvl w:ilvl="7" w:tentative="0">
      <w:start w:val="0"/>
      <w:numFmt w:val="bullet"/>
      <w:lvlText w:val="•"/>
      <w:lvlJc w:val="left"/>
      <w:pPr>
        <w:ind w:left="7268" w:hanging="601"/>
      </w:pPr>
      <w:rPr>
        <w:rFonts w:hint="default"/>
      </w:rPr>
    </w:lvl>
    <w:lvl w:ilvl="8" w:tentative="0">
      <w:start w:val="0"/>
      <w:numFmt w:val="bullet"/>
      <w:lvlText w:val="•"/>
      <w:lvlJc w:val="left"/>
      <w:pPr>
        <w:ind w:left="8120" w:hanging="601"/>
      </w:pPr>
      <w:rPr>
        <w:rFonts w:hint="default"/>
      </w:rPr>
    </w:lvl>
  </w:abstractNum>
  <w:abstractNum w:abstractNumId="42">
    <w:nsid w:val="0F9F9CCA"/>
    <w:multiLevelType w:val="multilevel"/>
    <w:tmpl w:val="0F9F9CCA"/>
    <w:lvl w:ilvl="0" w:tentative="0">
      <w:start w:val="1"/>
      <w:numFmt w:val="decimal"/>
      <w:lvlText w:val="（%1）"/>
      <w:lvlJc w:val="left"/>
      <w:pPr>
        <w:ind w:left="1301" w:hanging="601"/>
        <w:jc w:val="left"/>
      </w:pPr>
      <w:rPr>
        <w:rFonts w:hint="default" w:ascii="宋体" w:hAnsi="宋体" w:eastAsia="宋体" w:cs="宋体"/>
        <w:spacing w:val="-60"/>
        <w:w w:val="100"/>
        <w:sz w:val="22"/>
        <w:szCs w:val="22"/>
      </w:rPr>
    </w:lvl>
    <w:lvl w:ilvl="1" w:tentative="0">
      <w:start w:val="0"/>
      <w:numFmt w:val="bullet"/>
      <w:lvlText w:val="•"/>
      <w:lvlJc w:val="left"/>
      <w:pPr>
        <w:ind w:left="2152" w:hanging="601"/>
      </w:pPr>
      <w:rPr>
        <w:rFonts w:hint="default"/>
      </w:rPr>
    </w:lvl>
    <w:lvl w:ilvl="2" w:tentative="0">
      <w:start w:val="0"/>
      <w:numFmt w:val="bullet"/>
      <w:lvlText w:val="•"/>
      <w:lvlJc w:val="left"/>
      <w:pPr>
        <w:ind w:left="3005" w:hanging="601"/>
      </w:pPr>
      <w:rPr>
        <w:rFonts w:hint="default"/>
      </w:rPr>
    </w:lvl>
    <w:lvl w:ilvl="3" w:tentative="0">
      <w:start w:val="0"/>
      <w:numFmt w:val="bullet"/>
      <w:lvlText w:val="•"/>
      <w:lvlJc w:val="left"/>
      <w:pPr>
        <w:ind w:left="3857" w:hanging="601"/>
      </w:pPr>
      <w:rPr>
        <w:rFonts w:hint="default"/>
      </w:rPr>
    </w:lvl>
    <w:lvl w:ilvl="4" w:tentative="0">
      <w:start w:val="0"/>
      <w:numFmt w:val="bullet"/>
      <w:lvlText w:val="•"/>
      <w:lvlJc w:val="left"/>
      <w:pPr>
        <w:ind w:left="4710" w:hanging="601"/>
      </w:pPr>
      <w:rPr>
        <w:rFonts w:hint="default"/>
      </w:rPr>
    </w:lvl>
    <w:lvl w:ilvl="5" w:tentative="0">
      <w:start w:val="0"/>
      <w:numFmt w:val="bullet"/>
      <w:lvlText w:val="•"/>
      <w:lvlJc w:val="left"/>
      <w:pPr>
        <w:ind w:left="5563" w:hanging="601"/>
      </w:pPr>
      <w:rPr>
        <w:rFonts w:hint="default"/>
      </w:rPr>
    </w:lvl>
    <w:lvl w:ilvl="6" w:tentative="0">
      <w:start w:val="0"/>
      <w:numFmt w:val="bullet"/>
      <w:lvlText w:val="•"/>
      <w:lvlJc w:val="left"/>
      <w:pPr>
        <w:ind w:left="6415" w:hanging="601"/>
      </w:pPr>
      <w:rPr>
        <w:rFonts w:hint="default"/>
      </w:rPr>
    </w:lvl>
    <w:lvl w:ilvl="7" w:tentative="0">
      <w:start w:val="0"/>
      <w:numFmt w:val="bullet"/>
      <w:lvlText w:val="•"/>
      <w:lvlJc w:val="left"/>
      <w:pPr>
        <w:ind w:left="7268" w:hanging="601"/>
      </w:pPr>
      <w:rPr>
        <w:rFonts w:hint="default"/>
      </w:rPr>
    </w:lvl>
    <w:lvl w:ilvl="8" w:tentative="0">
      <w:start w:val="0"/>
      <w:numFmt w:val="bullet"/>
      <w:lvlText w:val="•"/>
      <w:lvlJc w:val="left"/>
      <w:pPr>
        <w:ind w:left="8120" w:hanging="601"/>
      </w:pPr>
      <w:rPr>
        <w:rFonts w:hint="default"/>
      </w:rPr>
    </w:lvl>
  </w:abstractNum>
  <w:abstractNum w:abstractNumId="43">
    <w:nsid w:val="12EADF99"/>
    <w:multiLevelType w:val="multilevel"/>
    <w:tmpl w:val="12EADF99"/>
    <w:lvl w:ilvl="0" w:tentative="0">
      <w:start w:val="1"/>
      <w:numFmt w:val="lowerLetter"/>
      <w:lvlText w:val="%1."/>
      <w:lvlJc w:val="left"/>
      <w:pPr>
        <w:ind w:left="396" w:hanging="177"/>
        <w:jc w:val="left"/>
      </w:pPr>
      <w:rPr>
        <w:rFonts w:hint="default" w:ascii="Calibri" w:hAnsi="Calibri" w:eastAsia="Calibri" w:cs="Calibri"/>
        <w:spacing w:val="-1"/>
        <w:w w:val="100"/>
        <w:sz w:val="22"/>
        <w:szCs w:val="22"/>
      </w:rPr>
    </w:lvl>
    <w:lvl w:ilvl="1" w:tentative="0">
      <w:start w:val="0"/>
      <w:numFmt w:val="bullet"/>
      <w:lvlText w:val="•"/>
      <w:lvlJc w:val="left"/>
      <w:pPr>
        <w:ind w:left="1342" w:hanging="177"/>
      </w:pPr>
      <w:rPr>
        <w:rFonts w:hint="default"/>
      </w:rPr>
    </w:lvl>
    <w:lvl w:ilvl="2" w:tentative="0">
      <w:start w:val="0"/>
      <w:numFmt w:val="bullet"/>
      <w:lvlText w:val="•"/>
      <w:lvlJc w:val="left"/>
      <w:pPr>
        <w:ind w:left="2285" w:hanging="177"/>
      </w:pPr>
      <w:rPr>
        <w:rFonts w:hint="default"/>
      </w:rPr>
    </w:lvl>
    <w:lvl w:ilvl="3" w:tentative="0">
      <w:start w:val="0"/>
      <w:numFmt w:val="bullet"/>
      <w:lvlText w:val="•"/>
      <w:lvlJc w:val="left"/>
      <w:pPr>
        <w:ind w:left="3227" w:hanging="177"/>
      </w:pPr>
      <w:rPr>
        <w:rFonts w:hint="default"/>
      </w:rPr>
    </w:lvl>
    <w:lvl w:ilvl="4" w:tentative="0">
      <w:start w:val="0"/>
      <w:numFmt w:val="bullet"/>
      <w:lvlText w:val="•"/>
      <w:lvlJc w:val="left"/>
      <w:pPr>
        <w:ind w:left="4170" w:hanging="177"/>
      </w:pPr>
      <w:rPr>
        <w:rFonts w:hint="default"/>
      </w:rPr>
    </w:lvl>
    <w:lvl w:ilvl="5" w:tentative="0">
      <w:start w:val="0"/>
      <w:numFmt w:val="bullet"/>
      <w:lvlText w:val="•"/>
      <w:lvlJc w:val="left"/>
      <w:pPr>
        <w:ind w:left="5113" w:hanging="177"/>
      </w:pPr>
      <w:rPr>
        <w:rFonts w:hint="default"/>
      </w:rPr>
    </w:lvl>
    <w:lvl w:ilvl="6" w:tentative="0">
      <w:start w:val="0"/>
      <w:numFmt w:val="bullet"/>
      <w:lvlText w:val="•"/>
      <w:lvlJc w:val="left"/>
      <w:pPr>
        <w:ind w:left="6055" w:hanging="177"/>
      </w:pPr>
      <w:rPr>
        <w:rFonts w:hint="default"/>
      </w:rPr>
    </w:lvl>
    <w:lvl w:ilvl="7" w:tentative="0">
      <w:start w:val="0"/>
      <w:numFmt w:val="bullet"/>
      <w:lvlText w:val="•"/>
      <w:lvlJc w:val="left"/>
      <w:pPr>
        <w:ind w:left="6998" w:hanging="177"/>
      </w:pPr>
      <w:rPr>
        <w:rFonts w:hint="default"/>
      </w:rPr>
    </w:lvl>
    <w:lvl w:ilvl="8" w:tentative="0">
      <w:start w:val="0"/>
      <w:numFmt w:val="bullet"/>
      <w:lvlText w:val="•"/>
      <w:lvlJc w:val="left"/>
      <w:pPr>
        <w:ind w:left="7940" w:hanging="177"/>
      </w:pPr>
      <w:rPr>
        <w:rFonts w:hint="default"/>
      </w:rPr>
    </w:lvl>
  </w:abstractNum>
  <w:abstractNum w:abstractNumId="44">
    <w:nsid w:val="1ACDE60F"/>
    <w:multiLevelType w:val="multilevel"/>
    <w:tmpl w:val="1ACDE60F"/>
    <w:lvl w:ilvl="0" w:tentative="0">
      <w:start w:val="1"/>
      <w:numFmt w:val="decimal"/>
      <w:lvlText w:val="（%1）"/>
      <w:lvlJc w:val="left"/>
      <w:pPr>
        <w:ind w:left="220" w:hanging="604"/>
        <w:jc w:val="left"/>
      </w:pPr>
      <w:rPr>
        <w:rFonts w:hint="default" w:ascii="宋体" w:hAnsi="宋体" w:eastAsia="宋体" w:cs="宋体"/>
        <w:w w:val="100"/>
        <w:sz w:val="22"/>
        <w:szCs w:val="22"/>
      </w:rPr>
    </w:lvl>
    <w:lvl w:ilvl="1" w:tentative="0">
      <w:start w:val="0"/>
      <w:numFmt w:val="bullet"/>
      <w:lvlText w:val="•"/>
      <w:lvlJc w:val="left"/>
      <w:pPr>
        <w:ind w:left="1180" w:hanging="604"/>
      </w:pPr>
      <w:rPr>
        <w:rFonts w:hint="default"/>
      </w:rPr>
    </w:lvl>
    <w:lvl w:ilvl="2" w:tentative="0">
      <w:start w:val="0"/>
      <w:numFmt w:val="bullet"/>
      <w:lvlText w:val="•"/>
      <w:lvlJc w:val="left"/>
      <w:pPr>
        <w:ind w:left="2141" w:hanging="604"/>
      </w:pPr>
      <w:rPr>
        <w:rFonts w:hint="default"/>
      </w:rPr>
    </w:lvl>
    <w:lvl w:ilvl="3" w:tentative="0">
      <w:start w:val="0"/>
      <w:numFmt w:val="bullet"/>
      <w:lvlText w:val="•"/>
      <w:lvlJc w:val="left"/>
      <w:pPr>
        <w:ind w:left="3101" w:hanging="604"/>
      </w:pPr>
      <w:rPr>
        <w:rFonts w:hint="default"/>
      </w:rPr>
    </w:lvl>
    <w:lvl w:ilvl="4" w:tentative="0">
      <w:start w:val="0"/>
      <w:numFmt w:val="bullet"/>
      <w:lvlText w:val="•"/>
      <w:lvlJc w:val="left"/>
      <w:pPr>
        <w:ind w:left="4062" w:hanging="604"/>
      </w:pPr>
      <w:rPr>
        <w:rFonts w:hint="default"/>
      </w:rPr>
    </w:lvl>
    <w:lvl w:ilvl="5" w:tentative="0">
      <w:start w:val="0"/>
      <w:numFmt w:val="bullet"/>
      <w:lvlText w:val="•"/>
      <w:lvlJc w:val="left"/>
      <w:pPr>
        <w:ind w:left="5023" w:hanging="604"/>
      </w:pPr>
      <w:rPr>
        <w:rFonts w:hint="default"/>
      </w:rPr>
    </w:lvl>
    <w:lvl w:ilvl="6" w:tentative="0">
      <w:start w:val="0"/>
      <w:numFmt w:val="bullet"/>
      <w:lvlText w:val="•"/>
      <w:lvlJc w:val="left"/>
      <w:pPr>
        <w:ind w:left="5983" w:hanging="604"/>
      </w:pPr>
      <w:rPr>
        <w:rFonts w:hint="default"/>
      </w:rPr>
    </w:lvl>
    <w:lvl w:ilvl="7" w:tentative="0">
      <w:start w:val="0"/>
      <w:numFmt w:val="bullet"/>
      <w:lvlText w:val="•"/>
      <w:lvlJc w:val="left"/>
      <w:pPr>
        <w:ind w:left="6944" w:hanging="604"/>
      </w:pPr>
      <w:rPr>
        <w:rFonts w:hint="default"/>
      </w:rPr>
    </w:lvl>
    <w:lvl w:ilvl="8" w:tentative="0">
      <w:start w:val="0"/>
      <w:numFmt w:val="bullet"/>
      <w:lvlText w:val="•"/>
      <w:lvlJc w:val="left"/>
      <w:pPr>
        <w:ind w:left="7904" w:hanging="604"/>
      </w:pPr>
      <w:rPr>
        <w:rFonts w:hint="default"/>
      </w:rPr>
    </w:lvl>
  </w:abstractNum>
  <w:abstractNum w:abstractNumId="45">
    <w:nsid w:val="1C257C7B"/>
    <w:multiLevelType w:val="multilevel"/>
    <w:tmpl w:val="1C257C7B"/>
    <w:lvl w:ilvl="0" w:tentative="0">
      <w:start w:val="1"/>
      <w:numFmt w:val="lowerLetter"/>
      <w:lvlText w:val="%1."/>
      <w:lvlJc w:val="left"/>
      <w:pPr>
        <w:ind w:left="876" w:hanging="177"/>
        <w:jc w:val="left"/>
      </w:pPr>
      <w:rPr>
        <w:rFonts w:hint="default" w:ascii="Calibri" w:hAnsi="Calibri" w:eastAsia="Calibri" w:cs="Calibri"/>
        <w:spacing w:val="-1"/>
        <w:w w:val="100"/>
        <w:sz w:val="22"/>
        <w:szCs w:val="22"/>
      </w:rPr>
    </w:lvl>
    <w:lvl w:ilvl="1" w:tentative="0">
      <w:start w:val="0"/>
      <w:numFmt w:val="bullet"/>
      <w:lvlText w:val="•"/>
      <w:lvlJc w:val="left"/>
      <w:pPr>
        <w:ind w:left="1774" w:hanging="177"/>
      </w:pPr>
      <w:rPr>
        <w:rFonts w:hint="default"/>
      </w:rPr>
    </w:lvl>
    <w:lvl w:ilvl="2" w:tentative="0">
      <w:start w:val="0"/>
      <w:numFmt w:val="bullet"/>
      <w:lvlText w:val="•"/>
      <w:lvlJc w:val="left"/>
      <w:pPr>
        <w:ind w:left="2669" w:hanging="177"/>
      </w:pPr>
      <w:rPr>
        <w:rFonts w:hint="default"/>
      </w:rPr>
    </w:lvl>
    <w:lvl w:ilvl="3" w:tentative="0">
      <w:start w:val="0"/>
      <w:numFmt w:val="bullet"/>
      <w:lvlText w:val="•"/>
      <w:lvlJc w:val="left"/>
      <w:pPr>
        <w:ind w:left="3563" w:hanging="177"/>
      </w:pPr>
      <w:rPr>
        <w:rFonts w:hint="default"/>
      </w:rPr>
    </w:lvl>
    <w:lvl w:ilvl="4" w:tentative="0">
      <w:start w:val="0"/>
      <w:numFmt w:val="bullet"/>
      <w:lvlText w:val="•"/>
      <w:lvlJc w:val="left"/>
      <w:pPr>
        <w:ind w:left="4458" w:hanging="177"/>
      </w:pPr>
      <w:rPr>
        <w:rFonts w:hint="default"/>
      </w:rPr>
    </w:lvl>
    <w:lvl w:ilvl="5" w:tentative="0">
      <w:start w:val="0"/>
      <w:numFmt w:val="bullet"/>
      <w:lvlText w:val="•"/>
      <w:lvlJc w:val="left"/>
      <w:pPr>
        <w:ind w:left="5353" w:hanging="177"/>
      </w:pPr>
      <w:rPr>
        <w:rFonts w:hint="default"/>
      </w:rPr>
    </w:lvl>
    <w:lvl w:ilvl="6" w:tentative="0">
      <w:start w:val="0"/>
      <w:numFmt w:val="bullet"/>
      <w:lvlText w:val="•"/>
      <w:lvlJc w:val="left"/>
      <w:pPr>
        <w:ind w:left="6247" w:hanging="177"/>
      </w:pPr>
      <w:rPr>
        <w:rFonts w:hint="default"/>
      </w:rPr>
    </w:lvl>
    <w:lvl w:ilvl="7" w:tentative="0">
      <w:start w:val="0"/>
      <w:numFmt w:val="bullet"/>
      <w:lvlText w:val="•"/>
      <w:lvlJc w:val="left"/>
      <w:pPr>
        <w:ind w:left="7142" w:hanging="177"/>
      </w:pPr>
      <w:rPr>
        <w:rFonts w:hint="default"/>
      </w:rPr>
    </w:lvl>
    <w:lvl w:ilvl="8" w:tentative="0">
      <w:start w:val="0"/>
      <w:numFmt w:val="bullet"/>
      <w:lvlText w:val="•"/>
      <w:lvlJc w:val="left"/>
      <w:pPr>
        <w:ind w:left="8036" w:hanging="177"/>
      </w:pPr>
      <w:rPr>
        <w:rFonts w:hint="default"/>
      </w:rPr>
    </w:lvl>
  </w:abstractNum>
  <w:abstractNum w:abstractNumId="46">
    <w:nsid w:val="2007DCFD"/>
    <w:multiLevelType w:val="multilevel"/>
    <w:tmpl w:val="2007DCFD"/>
    <w:lvl w:ilvl="0" w:tentative="0">
      <w:start w:val="2"/>
      <w:numFmt w:val="decimal"/>
      <w:lvlText w:val="%1"/>
      <w:lvlJc w:val="left"/>
      <w:pPr>
        <w:ind w:left="220" w:hanging="365"/>
        <w:jc w:val="left"/>
      </w:pPr>
      <w:rPr>
        <w:rFonts w:hint="default"/>
      </w:rPr>
    </w:lvl>
    <w:lvl w:ilvl="1" w:tentative="0">
      <w:start w:val="1"/>
      <w:numFmt w:val="decimal"/>
      <w:lvlText w:val="%1.%2"/>
      <w:lvlJc w:val="left"/>
      <w:pPr>
        <w:ind w:left="220" w:hanging="365"/>
        <w:jc w:val="left"/>
      </w:pPr>
      <w:rPr>
        <w:rFonts w:hint="default" w:ascii="Calibri" w:hAnsi="Calibri" w:eastAsia="Calibri" w:cs="Calibri"/>
        <w:spacing w:val="-1"/>
        <w:w w:val="100"/>
        <w:sz w:val="24"/>
        <w:szCs w:val="24"/>
      </w:rPr>
    </w:lvl>
    <w:lvl w:ilvl="2" w:tentative="0">
      <w:start w:val="0"/>
      <w:numFmt w:val="bullet"/>
      <w:lvlText w:val="•"/>
      <w:lvlJc w:val="left"/>
      <w:pPr>
        <w:ind w:left="2141" w:hanging="365"/>
      </w:pPr>
      <w:rPr>
        <w:rFonts w:hint="default"/>
      </w:rPr>
    </w:lvl>
    <w:lvl w:ilvl="3" w:tentative="0">
      <w:start w:val="0"/>
      <w:numFmt w:val="bullet"/>
      <w:lvlText w:val="•"/>
      <w:lvlJc w:val="left"/>
      <w:pPr>
        <w:ind w:left="3101" w:hanging="365"/>
      </w:pPr>
      <w:rPr>
        <w:rFonts w:hint="default"/>
      </w:rPr>
    </w:lvl>
    <w:lvl w:ilvl="4" w:tentative="0">
      <w:start w:val="0"/>
      <w:numFmt w:val="bullet"/>
      <w:lvlText w:val="•"/>
      <w:lvlJc w:val="left"/>
      <w:pPr>
        <w:ind w:left="4062" w:hanging="365"/>
      </w:pPr>
      <w:rPr>
        <w:rFonts w:hint="default"/>
      </w:rPr>
    </w:lvl>
    <w:lvl w:ilvl="5" w:tentative="0">
      <w:start w:val="0"/>
      <w:numFmt w:val="bullet"/>
      <w:lvlText w:val="•"/>
      <w:lvlJc w:val="left"/>
      <w:pPr>
        <w:ind w:left="5023" w:hanging="365"/>
      </w:pPr>
      <w:rPr>
        <w:rFonts w:hint="default"/>
      </w:rPr>
    </w:lvl>
    <w:lvl w:ilvl="6" w:tentative="0">
      <w:start w:val="0"/>
      <w:numFmt w:val="bullet"/>
      <w:lvlText w:val="•"/>
      <w:lvlJc w:val="left"/>
      <w:pPr>
        <w:ind w:left="5983" w:hanging="365"/>
      </w:pPr>
      <w:rPr>
        <w:rFonts w:hint="default"/>
      </w:rPr>
    </w:lvl>
    <w:lvl w:ilvl="7" w:tentative="0">
      <w:start w:val="0"/>
      <w:numFmt w:val="bullet"/>
      <w:lvlText w:val="•"/>
      <w:lvlJc w:val="left"/>
      <w:pPr>
        <w:ind w:left="6944" w:hanging="365"/>
      </w:pPr>
      <w:rPr>
        <w:rFonts w:hint="default"/>
      </w:rPr>
    </w:lvl>
    <w:lvl w:ilvl="8" w:tentative="0">
      <w:start w:val="0"/>
      <w:numFmt w:val="bullet"/>
      <w:lvlText w:val="•"/>
      <w:lvlJc w:val="left"/>
      <w:pPr>
        <w:ind w:left="7904" w:hanging="365"/>
      </w:pPr>
      <w:rPr>
        <w:rFonts w:hint="default"/>
      </w:rPr>
    </w:lvl>
  </w:abstractNum>
  <w:abstractNum w:abstractNumId="47">
    <w:nsid w:val="227C9188"/>
    <w:multiLevelType w:val="multilevel"/>
    <w:tmpl w:val="227C9188"/>
    <w:lvl w:ilvl="0" w:tentative="0">
      <w:start w:val="1"/>
      <w:numFmt w:val="decimal"/>
      <w:lvlText w:val="（%1）"/>
      <w:lvlJc w:val="left"/>
      <w:pPr>
        <w:ind w:left="1301" w:hanging="601"/>
        <w:jc w:val="left"/>
      </w:pPr>
      <w:rPr>
        <w:rFonts w:hint="default" w:ascii="宋体" w:hAnsi="宋体" w:eastAsia="宋体" w:cs="宋体"/>
        <w:spacing w:val="-2"/>
        <w:w w:val="100"/>
        <w:sz w:val="22"/>
        <w:szCs w:val="22"/>
      </w:rPr>
    </w:lvl>
    <w:lvl w:ilvl="1" w:tentative="0">
      <w:start w:val="0"/>
      <w:numFmt w:val="bullet"/>
      <w:lvlText w:val="•"/>
      <w:lvlJc w:val="left"/>
      <w:pPr>
        <w:ind w:left="2152" w:hanging="601"/>
      </w:pPr>
      <w:rPr>
        <w:rFonts w:hint="default"/>
      </w:rPr>
    </w:lvl>
    <w:lvl w:ilvl="2" w:tentative="0">
      <w:start w:val="0"/>
      <w:numFmt w:val="bullet"/>
      <w:lvlText w:val="•"/>
      <w:lvlJc w:val="left"/>
      <w:pPr>
        <w:ind w:left="3005" w:hanging="601"/>
      </w:pPr>
      <w:rPr>
        <w:rFonts w:hint="default"/>
      </w:rPr>
    </w:lvl>
    <w:lvl w:ilvl="3" w:tentative="0">
      <w:start w:val="0"/>
      <w:numFmt w:val="bullet"/>
      <w:lvlText w:val="•"/>
      <w:lvlJc w:val="left"/>
      <w:pPr>
        <w:ind w:left="3857" w:hanging="601"/>
      </w:pPr>
      <w:rPr>
        <w:rFonts w:hint="default"/>
      </w:rPr>
    </w:lvl>
    <w:lvl w:ilvl="4" w:tentative="0">
      <w:start w:val="0"/>
      <w:numFmt w:val="bullet"/>
      <w:lvlText w:val="•"/>
      <w:lvlJc w:val="left"/>
      <w:pPr>
        <w:ind w:left="4710" w:hanging="601"/>
      </w:pPr>
      <w:rPr>
        <w:rFonts w:hint="default"/>
      </w:rPr>
    </w:lvl>
    <w:lvl w:ilvl="5" w:tentative="0">
      <w:start w:val="0"/>
      <w:numFmt w:val="bullet"/>
      <w:lvlText w:val="•"/>
      <w:lvlJc w:val="left"/>
      <w:pPr>
        <w:ind w:left="5563" w:hanging="601"/>
      </w:pPr>
      <w:rPr>
        <w:rFonts w:hint="default"/>
      </w:rPr>
    </w:lvl>
    <w:lvl w:ilvl="6" w:tentative="0">
      <w:start w:val="0"/>
      <w:numFmt w:val="bullet"/>
      <w:lvlText w:val="•"/>
      <w:lvlJc w:val="left"/>
      <w:pPr>
        <w:ind w:left="6415" w:hanging="601"/>
      </w:pPr>
      <w:rPr>
        <w:rFonts w:hint="default"/>
      </w:rPr>
    </w:lvl>
    <w:lvl w:ilvl="7" w:tentative="0">
      <w:start w:val="0"/>
      <w:numFmt w:val="bullet"/>
      <w:lvlText w:val="•"/>
      <w:lvlJc w:val="left"/>
      <w:pPr>
        <w:ind w:left="7268" w:hanging="601"/>
      </w:pPr>
      <w:rPr>
        <w:rFonts w:hint="default"/>
      </w:rPr>
    </w:lvl>
    <w:lvl w:ilvl="8" w:tentative="0">
      <w:start w:val="0"/>
      <w:numFmt w:val="bullet"/>
      <w:lvlText w:val="•"/>
      <w:lvlJc w:val="left"/>
      <w:pPr>
        <w:ind w:left="8120" w:hanging="601"/>
      </w:pPr>
      <w:rPr>
        <w:rFonts w:hint="default"/>
      </w:rPr>
    </w:lvl>
  </w:abstractNum>
  <w:abstractNum w:abstractNumId="48">
    <w:nsid w:val="23E97754"/>
    <w:multiLevelType w:val="multilevel"/>
    <w:tmpl w:val="23E97754"/>
    <w:lvl w:ilvl="0" w:tentative="0">
      <w:start w:val="1"/>
      <w:numFmt w:val="lowerLetter"/>
      <w:lvlText w:val="%1."/>
      <w:lvlJc w:val="left"/>
      <w:pPr>
        <w:ind w:left="876" w:hanging="177"/>
        <w:jc w:val="left"/>
      </w:pPr>
      <w:rPr>
        <w:rFonts w:hint="default" w:ascii="Calibri" w:hAnsi="Calibri" w:eastAsia="Calibri" w:cs="Calibri"/>
        <w:spacing w:val="-1"/>
        <w:w w:val="100"/>
        <w:sz w:val="22"/>
        <w:szCs w:val="22"/>
      </w:rPr>
    </w:lvl>
    <w:lvl w:ilvl="1" w:tentative="0">
      <w:start w:val="0"/>
      <w:numFmt w:val="bullet"/>
      <w:lvlText w:val="•"/>
      <w:lvlJc w:val="left"/>
      <w:pPr>
        <w:ind w:left="1774" w:hanging="177"/>
      </w:pPr>
      <w:rPr>
        <w:rFonts w:hint="default"/>
      </w:rPr>
    </w:lvl>
    <w:lvl w:ilvl="2" w:tentative="0">
      <w:start w:val="0"/>
      <w:numFmt w:val="bullet"/>
      <w:lvlText w:val="•"/>
      <w:lvlJc w:val="left"/>
      <w:pPr>
        <w:ind w:left="2669" w:hanging="177"/>
      </w:pPr>
      <w:rPr>
        <w:rFonts w:hint="default"/>
      </w:rPr>
    </w:lvl>
    <w:lvl w:ilvl="3" w:tentative="0">
      <w:start w:val="0"/>
      <w:numFmt w:val="bullet"/>
      <w:lvlText w:val="•"/>
      <w:lvlJc w:val="left"/>
      <w:pPr>
        <w:ind w:left="3563" w:hanging="177"/>
      </w:pPr>
      <w:rPr>
        <w:rFonts w:hint="default"/>
      </w:rPr>
    </w:lvl>
    <w:lvl w:ilvl="4" w:tentative="0">
      <w:start w:val="0"/>
      <w:numFmt w:val="bullet"/>
      <w:lvlText w:val="•"/>
      <w:lvlJc w:val="left"/>
      <w:pPr>
        <w:ind w:left="4458" w:hanging="177"/>
      </w:pPr>
      <w:rPr>
        <w:rFonts w:hint="default"/>
      </w:rPr>
    </w:lvl>
    <w:lvl w:ilvl="5" w:tentative="0">
      <w:start w:val="0"/>
      <w:numFmt w:val="bullet"/>
      <w:lvlText w:val="•"/>
      <w:lvlJc w:val="left"/>
      <w:pPr>
        <w:ind w:left="5353" w:hanging="177"/>
      </w:pPr>
      <w:rPr>
        <w:rFonts w:hint="default"/>
      </w:rPr>
    </w:lvl>
    <w:lvl w:ilvl="6" w:tentative="0">
      <w:start w:val="0"/>
      <w:numFmt w:val="bullet"/>
      <w:lvlText w:val="•"/>
      <w:lvlJc w:val="left"/>
      <w:pPr>
        <w:ind w:left="6247" w:hanging="177"/>
      </w:pPr>
      <w:rPr>
        <w:rFonts w:hint="default"/>
      </w:rPr>
    </w:lvl>
    <w:lvl w:ilvl="7" w:tentative="0">
      <w:start w:val="0"/>
      <w:numFmt w:val="bullet"/>
      <w:lvlText w:val="•"/>
      <w:lvlJc w:val="left"/>
      <w:pPr>
        <w:ind w:left="7142" w:hanging="177"/>
      </w:pPr>
      <w:rPr>
        <w:rFonts w:hint="default"/>
      </w:rPr>
    </w:lvl>
    <w:lvl w:ilvl="8" w:tentative="0">
      <w:start w:val="0"/>
      <w:numFmt w:val="bullet"/>
      <w:lvlText w:val="•"/>
      <w:lvlJc w:val="left"/>
      <w:pPr>
        <w:ind w:left="8036" w:hanging="177"/>
      </w:pPr>
      <w:rPr>
        <w:rFonts w:hint="default"/>
      </w:rPr>
    </w:lvl>
  </w:abstractNum>
  <w:abstractNum w:abstractNumId="49">
    <w:nsid w:val="243FCF68"/>
    <w:multiLevelType w:val="multilevel"/>
    <w:tmpl w:val="243FCF68"/>
    <w:lvl w:ilvl="0" w:tentative="0">
      <w:start w:val="1"/>
      <w:numFmt w:val="decimal"/>
      <w:lvlText w:val="（%1）"/>
      <w:lvlJc w:val="left"/>
      <w:pPr>
        <w:ind w:left="220" w:hanging="604"/>
        <w:jc w:val="left"/>
      </w:pPr>
      <w:rPr>
        <w:rFonts w:hint="default" w:ascii="宋体" w:hAnsi="宋体" w:eastAsia="宋体" w:cs="宋体"/>
        <w:w w:val="100"/>
        <w:sz w:val="22"/>
        <w:szCs w:val="22"/>
      </w:rPr>
    </w:lvl>
    <w:lvl w:ilvl="1" w:tentative="0">
      <w:start w:val="0"/>
      <w:numFmt w:val="bullet"/>
      <w:lvlText w:val="•"/>
      <w:lvlJc w:val="left"/>
      <w:pPr>
        <w:ind w:left="1180" w:hanging="604"/>
      </w:pPr>
      <w:rPr>
        <w:rFonts w:hint="default"/>
      </w:rPr>
    </w:lvl>
    <w:lvl w:ilvl="2" w:tentative="0">
      <w:start w:val="0"/>
      <w:numFmt w:val="bullet"/>
      <w:lvlText w:val="•"/>
      <w:lvlJc w:val="left"/>
      <w:pPr>
        <w:ind w:left="2141" w:hanging="604"/>
      </w:pPr>
      <w:rPr>
        <w:rFonts w:hint="default"/>
      </w:rPr>
    </w:lvl>
    <w:lvl w:ilvl="3" w:tentative="0">
      <w:start w:val="0"/>
      <w:numFmt w:val="bullet"/>
      <w:lvlText w:val="•"/>
      <w:lvlJc w:val="left"/>
      <w:pPr>
        <w:ind w:left="3101" w:hanging="604"/>
      </w:pPr>
      <w:rPr>
        <w:rFonts w:hint="default"/>
      </w:rPr>
    </w:lvl>
    <w:lvl w:ilvl="4" w:tentative="0">
      <w:start w:val="0"/>
      <w:numFmt w:val="bullet"/>
      <w:lvlText w:val="•"/>
      <w:lvlJc w:val="left"/>
      <w:pPr>
        <w:ind w:left="4062" w:hanging="604"/>
      </w:pPr>
      <w:rPr>
        <w:rFonts w:hint="default"/>
      </w:rPr>
    </w:lvl>
    <w:lvl w:ilvl="5" w:tentative="0">
      <w:start w:val="0"/>
      <w:numFmt w:val="bullet"/>
      <w:lvlText w:val="•"/>
      <w:lvlJc w:val="left"/>
      <w:pPr>
        <w:ind w:left="5023" w:hanging="604"/>
      </w:pPr>
      <w:rPr>
        <w:rFonts w:hint="default"/>
      </w:rPr>
    </w:lvl>
    <w:lvl w:ilvl="6" w:tentative="0">
      <w:start w:val="0"/>
      <w:numFmt w:val="bullet"/>
      <w:lvlText w:val="•"/>
      <w:lvlJc w:val="left"/>
      <w:pPr>
        <w:ind w:left="5983" w:hanging="604"/>
      </w:pPr>
      <w:rPr>
        <w:rFonts w:hint="default"/>
      </w:rPr>
    </w:lvl>
    <w:lvl w:ilvl="7" w:tentative="0">
      <w:start w:val="0"/>
      <w:numFmt w:val="bullet"/>
      <w:lvlText w:val="•"/>
      <w:lvlJc w:val="left"/>
      <w:pPr>
        <w:ind w:left="6944" w:hanging="604"/>
      </w:pPr>
      <w:rPr>
        <w:rFonts w:hint="default"/>
      </w:rPr>
    </w:lvl>
    <w:lvl w:ilvl="8" w:tentative="0">
      <w:start w:val="0"/>
      <w:numFmt w:val="bullet"/>
      <w:lvlText w:val="•"/>
      <w:lvlJc w:val="left"/>
      <w:pPr>
        <w:ind w:left="7904" w:hanging="604"/>
      </w:pPr>
      <w:rPr>
        <w:rFonts w:hint="default"/>
      </w:rPr>
    </w:lvl>
  </w:abstractNum>
  <w:abstractNum w:abstractNumId="50">
    <w:nsid w:val="2470EC97"/>
    <w:multiLevelType w:val="multilevel"/>
    <w:tmpl w:val="2470EC97"/>
    <w:lvl w:ilvl="0" w:tentative="0">
      <w:start w:val="7"/>
      <w:numFmt w:val="decimal"/>
      <w:lvlText w:val="%1"/>
      <w:lvlJc w:val="left"/>
      <w:pPr>
        <w:ind w:left="220" w:hanging="365"/>
        <w:jc w:val="left"/>
      </w:pPr>
      <w:rPr>
        <w:rFonts w:hint="default"/>
      </w:rPr>
    </w:lvl>
    <w:lvl w:ilvl="1" w:tentative="0">
      <w:start w:val="1"/>
      <w:numFmt w:val="decimal"/>
      <w:lvlText w:val="%1.%2"/>
      <w:lvlJc w:val="left"/>
      <w:pPr>
        <w:ind w:left="220" w:hanging="365"/>
        <w:jc w:val="left"/>
      </w:pPr>
      <w:rPr>
        <w:rFonts w:hint="default" w:ascii="Calibri" w:hAnsi="Calibri" w:eastAsia="Calibri" w:cs="Calibri"/>
        <w:spacing w:val="-1"/>
        <w:w w:val="100"/>
        <w:sz w:val="24"/>
        <w:szCs w:val="24"/>
      </w:rPr>
    </w:lvl>
    <w:lvl w:ilvl="2" w:tentative="0">
      <w:start w:val="0"/>
      <w:numFmt w:val="bullet"/>
      <w:lvlText w:val="•"/>
      <w:lvlJc w:val="left"/>
      <w:pPr>
        <w:ind w:left="2141" w:hanging="365"/>
      </w:pPr>
      <w:rPr>
        <w:rFonts w:hint="default"/>
      </w:rPr>
    </w:lvl>
    <w:lvl w:ilvl="3" w:tentative="0">
      <w:start w:val="0"/>
      <w:numFmt w:val="bullet"/>
      <w:lvlText w:val="•"/>
      <w:lvlJc w:val="left"/>
      <w:pPr>
        <w:ind w:left="3101" w:hanging="365"/>
      </w:pPr>
      <w:rPr>
        <w:rFonts w:hint="default"/>
      </w:rPr>
    </w:lvl>
    <w:lvl w:ilvl="4" w:tentative="0">
      <w:start w:val="0"/>
      <w:numFmt w:val="bullet"/>
      <w:lvlText w:val="•"/>
      <w:lvlJc w:val="left"/>
      <w:pPr>
        <w:ind w:left="4062" w:hanging="365"/>
      </w:pPr>
      <w:rPr>
        <w:rFonts w:hint="default"/>
      </w:rPr>
    </w:lvl>
    <w:lvl w:ilvl="5" w:tentative="0">
      <w:start w:val="0"/>
      <w:numFmt w:val="bullet"/>
      <w:lvlText w:val="•"/>
      <w:lvlJc w:val="left"/>
      <w:pPr>
        <w:ind w:left="5023" w:hanging="365"/>
      </w:pPr>
      <w:rPr>
        <w:rFonts w:hint="default"/>
      </w:rPr>
    </w:lvl>
    <w:lvl w:ilvl="6" w:tentative="0">
      <w:start w:val="0"/>
      <w:numFmt w:val="bullet"/>
      <w:lvlText w:val="•"/>
      <w:lvlJc w:val="left"/>
      <w:pPr>
        <w:ind w:left="5983" w:hanging="365"/>
      </w:pPr>
      <w:rPr>
        <w:rFonts w:hint="default"/>
      </w:rPr>
    </w:lvl>
    <w:lvl w:ilvl="7" w:tentative="0">
      <w:start w:val="0"/>
      <w:numFmt w:val="bullet"/>
      <w:lvlText w:val="•"/>
      <w:lvlJc w:val="left"/>
      <w:pPr>
        <w:ind w:left="6944" w:hanging="365"/>
      </w:pPr>
      <w:rPr>
        <w:rFonts w:hint="default"/>
      </w:rPr>
    </w:lvl>
    <w:lvl w:ilvl="8" w:tentative="0">
      <w:start w:val="0"/>
      <w:numFmt w:val="bullet"/>
      <w:lvlText w:val="•"/>
      <w:lvlJc w:val="left"/>
      <w:pPr>
        <w:ind w:left="7904" w:hanging="365"/>
      </w:pPr>
      <w:rPr>
        <w:rFonts w:hint="default"/>
      </w:rPr>
    </w:lvl>
  </w:abstractNum>
  <w:abstractNum w:abstractNumId="51">
    <w:nsid w:val="2A8F537B"/>
    <w:multiLevelType w:val="multilevel"/>
    <w:tmpl w:val="2A8F537B"/>
    <w:lvl w:ilvl="0" w:tentative="0">
      <w:start w:val="1"/>
      <w:numFmt w:val="decimal"/>
      <w:lvlText w:val="（%1）"/>
      <w:lvlJc w:val="left"/>
      <w:pPr>
        <w:ind w:left="220" w:hanging="604"/>
        <w:jc w:val="left"/>
      </w:pPr>
      <w:rPr>
        <w:rFonts w:hint="default" w:ascii="宋体" w:hAnsi="宋体" w:eastAsia="宋体" w:cs="宋体"/>
        <w:w w:val="100"/>
        <w:sz w:val="22"/>
        <w:szCs w:val="22"/>
      </w:rPr>
    </w:lvl>
    <w:lvl w:ilvl="1" w:tentative="0">
      <w:start w:val="0"/>
      <w:numFmt w:val="bullet"/>
      <w:lvlText w:val="•"/>
      <w:lvlJc w:val="left"/>
      <w:pPr>
        <w:ind w:left="1180" w:hanging="604"/>
      </w:pPr>
      <w:rPr>
        <w:rFonts w:hint="default"/>
      </w:rPr>
    </w:lvl>
    <w:lvl w:ilvl="2" w:tentative="0">
      <w:start w:val="0"/>
      <w:numFmt w:val="bullet"/>
      <w:lvlText w:val="•"/>
      <w:lvlJc w:val="left"/>
      <w:pPr>
        <w:ind w:left="2141" w:hanging="604"/>
      </w:pPr>
      <w:rPr>
        <w:rFonts w:hint="default"/>
      </w:rPr>
    </w:lvl>
    <w:lvl w:ilvl="3" w:tentative="0">
      <w:start w:val="0"/>
      <w:numFmt w:val="bullet"/>
      <w:lvlText w:val="•"/>
      <w:lvlJc w:val="left"/>
      <w:pPr>
        <w:ind w:left="3101" w:hanging="604"/>
      </w:pPr>
      <w:rPr>
        <w:rFonts w:hint="default"/>
      </w:rPr>
    </w:lvl>
    <w:lvl w:ilvl="4" w:tentative="0">
      <w:start w:val="0"/>
      <w:numFmt w:val="bullet"/>
      <w:lvlText w:val="•"/>
      <w:lvlJc w:val="left"/>
      <w:pPr>
        <w:ind w:left="4062" w:hanging="604"/>
      </w:pPr>
      <w:rPr>
        <w:rFonts w:hint="default"/>
      </w:rPr>
    </w:lvl>
    <w:lvl w:ilvl="5" w:tentative="0">
      <w:start w:val="0"/>
      <w:numFmt w:val="bullet"/>
      <w:lvlText w:val="•"/>
      <w:lvlJc w:val="left"/>
      <w:pPr>
        <w:ind w:left="5023" w:hanging="604"/>
      </w:pPr>
      <w:rPr>
        <w:rFonts w:hint="default"/>
      </w:rPr>
    </w:lvl>
    <w:lvl w:ilvl="6" w:tentative="0">
      <w:start w:val="0"/>
      <w:numFmt w:val="bullet"/>
      <w:lvlText w:val="•"/>
      <w:lvlJc w:val="left"/>
      <w:pPr>
        <w:ind w:left="5983" w:hanging="604"/>
      </w:pPr>
      <w:rPr>
        <w:rFonts w:hint="default"/>
      </w:rPr>
    </w:lvl>
    <w:lvl w:ilvl="7" w:tentative="0">
      <w:start w:val="0"/>
      <w:numFmt w:val="bullet"/>
      <w:lvlText w:val="•"/>
      <w:lvlJc w:val="left"/>
      <w:pPr>
        <w:ind w:left="6944" w:hanging="604"/>
      </w:pPr>
      <w:rPr>
        <w:rFonts w:hint="default"/>
      </w:rPr>
    </w:lvl>
    <w:lvl w:ilvl="8" w:tentative="0">
      <w:start w:val="0"/>
      <w:numFmt w:val="bullet"/>
      <w:lvlText w:val="•"/>
      <w:lvlJc w:val="left"/>
      <w:pPr>
        <w:ind w:left="7904" w:hanging="604"/>
      </w:pPr>
      <w:rPr>
        <w:rFonts w:hint="default"/>
      </w:rPr>
    </w:lvl>
  </w:abstractNum>
  <w:abstractNum w:abstractNumId="52">
    <w:nsid w:val="30FC5B15"/>
    <w:multiLevelType w:val="multilevel"/>
    <w:tmpl w:val="30FC5B15"/>
    <w:lvl w:ilvl="0" w:tentative="0">
      <w:start w:val="13"/>
      <w:numFmt w:val="decimal"/>
      <w:lvlText w:val="%1"/>
      <w:lvlJc w:val="left"/>
      <w:pPr>
        <w:ind w:left="220" w:hanging="485"/>
        <w:jc w:val="left"/>
      </w:pPr>
      <w:rPr>
        <w:rFonts w:hint="default"/>
      </w:rPr>
    </w:lvl>
    <w:lvl w:ilvl="1" w:tentative="0">
      <w:start w:val="1"/>
      <w:numFmt w:val="decimal"/>
      <w:lvlText w:val="%1.%2"/>
      <w:lvlJc w:val="left"/>
      <w:pPr>
        <w:ind w:left="220" w:hanging="485"/>
        <w:jc w:val="left"/>
      </w:pPr>
      <w:rPr>
        <w:rFonts w:hint="default" w:ascii="Calibri" w:hAnsi="Calibri" w:eastAsia="Calibri" w:cs="Calibri"/>
        <w:spacing w:val="-1"/>
        <w:w w:val="100"/>
        <w:sz w:val="24"/>
        <w:szCs w:val="24"/>
      </w:rPr>
    </w:lvl>
    <w:lvl w:ilvl="2" w:tentative="0">
      <w:start w:val="0"/>
      <w:numFmt w:val="bullet"/>
      <w:lvlText w:val="•"/>
      <w:lvlJc w:val="left"/>
      <w:pPr>
        <w:ind w:left="2141" w:hanging="485"/>
      </w:pPr>
      <w:rPr>
        <w:rFonts w:hint="default"/>
      </w:rPr>
    </w:lvl>
    <w:lvl w:ilvl="3" w:tentative="0">
      <w:start w:val="0"/>
      <w:numFmt w:val="bullet"/>
      <w:lvlText w:val="•"/>
      <w:lvlJc w:val="left"/>
      <w:pPr>
        <w:ind w:left="3101" w:hanging="485"/>
      </w:pPr>
      <w:rPr>
        <w:rFonts w:hint="default"/>
      </w:rPr>
    </w:lvl>
    <w:lvl w:ilvl="4" w:tentative="0">
      <w:start w:val="0"/>
      <w:numFmt w:val="bullet"/>
      <w:lvlText w:val="•"/>
      <w:lvlJc w:val="left"/>
      <w:pPr>
        <w:ind w:left="4062" w:hanging="485"/>
      </w:pPr>
      <w:rPr>
        <w:rFonts w:hint="default"/>
      </w:rPr>
    </w:lvl>
    <w:lvl w:ilvl="5" w:tentative="0">
      <w:start w:val="0"/>
      <w:numFmt w:val="bullet"/>
      <w:lvlText w:val="•"/>
      <w:lvlJc w:val="left"/>
      <w:pPr>
        <w:ind w:left="5023" w:hanging="485"/>
      </w:pPr>
      <w:rPr>
        <w:rFonts w:hint="default"/>
      </w:rPr>
    </w:lvl>
    <w:lvl w:ilvl="6" w:tentative="0">
      <w:start w:val="0"/>
      <w:numFmt w:val="bullet"/>
      <w:lvlText w:val="•"/>
      <w:lvlJc w:val="left"/>
      <w:pPr>
        <w:ind w:left="5983" w:hanging="485"/>
      </w:pPr>
      <w:rPr>
        <w:rFonts w:hint="default"/>
      </w:rPr>
    </w:lvl>
    <w:lvl w:ilvl="7" w:tentative="0">
      <w:start w:val="0"/>
      <w:numFmt w:val="bullet"/>
      <w:lvlText w:val="•"/>
      <w:lvlJc w:val="left"/>
      <w:pPr>
        <w:ind w:left="6944" w:hanging="485"/>
      </w:pPr>
      <w:rPr>
        <w:rFonts w:hint="default"/>
      </w:rPr>
    </w:lvl>
    <w:lvl w:ilvl="8" w:tentative="0">
      <w:start w:val="0"/>
      <w:numFmt w:val="bullet"/>
      <w:lvlText w:val="•"/>
      <w:lvlJc w:val="left"/>
      <w:pPr>
        <w:ind w:left="7904" w:hanging="485"/>
      </w:pPr>
      <w:rPr>
        <w:rFonts w:hint="default"/>
      </w:rPr>
    </w:lvl>
  </w:abstractNum>
  <w:abstractNum w:abstractNumId="53">
    <w:nsid w:val="322D85CA"/>
    <w:multiLevelType w:val="multilevel"/>
    <w:tmpl w:val="322D85CA"/>
    <w:lvl w:ilvl="0" w:tentative="0">
      <w:start w:val="1"/>
      <w:numFmt w:val="decimal"/>
      <w:lvlText w:val="（%1）"/>
      <w:lvlJc w:val="left"/>
      <w:pPr>
        <w:ind w:left="1301" w:hanging="601"/>
        <w:jc w:val="left"/>
      </w:pPr>
      <w:rPr>
        <w:rFonts w:hint="default" w:ascii="宋体" w:hAnsi="宋体" w:eastAsia="宋体" w:cs="宋体"/>
        <w:w w:val="100"/>
        <w:sz w:val="22"/>
        <w:szCs w:val="22"/>
      </w:rPr>
    </w:lvl>
    <w:lvl w:ilvl="1" w:tentative="0">
      <w:start w:val="0"/>
      <w:numFmt w:val="bullet"/>
      <w:lvlText w:val="•"/>
      <w:lvlJc w:val="left"/>
      <w:pPr>
        <w:ind w:left="2152" w:hanging="601"/>
      </w:pPr>
      <w:rPr>
        <w:rFonts w:hint="default"/>
      </w:rPr>
    </w:lvl>
    <w:lvl w:ilvl="2" w:tentative="0">
      <w:start w:val="0"/>
      <w:numFmt w:val="bullet"/>
      <w:lvlText w:val="•"/>
      <w:lvlJc w:val="left"/>
      <w:pPr>
        <w:ind w:left="3005" w:hanging="601"/>
      </w:pPr>
      <w:rPr>
        <w:rFonts w:hint="default"/>
      </w:rPr>
    </w:lvl>
    <w:lvl w:ilvl="3" w:tentative="0">
      <w:start w:val="0"/>
      <w:numFmt w:val="bullet"/>
      <w:lvlText w:val="•"/>
      <w:lvlJc w:val="left"/>
      <w:pPr>
        <w:ind w:left="3857" w:hanging="601"/>
      </w:pPr>
      <w:rPr>
        <w:rFonts w:hint="default"/>
      </w:rPr>
    </w:lvl>
    <w:lvl w:ilvl="4" w:tentative="0">
      <w:start w:val="0"/>
      <w:numFmt w:val="bullet"/>
      <w:lvlText w:val="•"/>
      <w:lvlJc w:val="left"/>
      <w:pPr>
        <w:ind w:left="4710" w:hanging="601"/>
      </w:pPr>
      <w:rPr>
        <w:rFonts w:hint="default"/>
      </w:rPr>
    </w:lvl>
    <w:lvl w:ilvl="5" w:tentative="0">
      <w:start w:val="0"/>
      <w:numFmt w:val="bullet"/>
      <w:lvlText w:val="•"/>
      <w:lvlJc w:val="left"/>
      <w:pPr>
        <w:ind w:left="5563" w:hanging="601"/>
      </w:pPr>
      <w:rPr>
        <w:rFonts w:hint="default"/>
      </w:rPr>
    </w:lvl>
    <w:lvl w:ilvl="6" w:tentative="0">
      <w:start w:val="0"/>
      <w:numFmt w:val="bullet"/>
      <w:lvlText w:val="•"/>
      <w:lvlJc w:val="left"/>
      <w:pPr>
        <w:ind w:left="6415" w:hanging="601"/>
      </w:pPr>
      <w:rPr>
        <w:rFonts w:hint="default"/>
      </w:rPr>
    </w:lvl>
    <w:lvl w:ilvl="7" w:tentative="0">
      <w:start w:val="0"/>
      <w:numFmt w:val="bullet"/>
      <w:lvlText w:val="•"/>
      <w:lvlJc w:val="left"/>
      <w:pPr>
        <w:ind w:left="7268" w:hanging="601"/>
      </w:pPr>
      <w:rPr>
        <w:rFonts w:hint="default"/>
      </w:rPr>
    </w:lvl>
    <w:lvl w:ilvl="8" w:tentative="0">
      <w:start w:val="0"/>
      <w:numFmt w:val="bullet"/>
      <w:lvlText w:val="•"/>
      <w:lvlJc w:val="left"/>
      <w:pPr>
        <w:ind w:left="8120" w:hanging="601"/>
      </w:pPr>
      <w:rPr>
        <w:rFonts w:hint="default"/>
      </w:rPr>
    </w:lvl>
  </w:abstractNum>
  <w:abstractNum w:abstractNumId="54">
    <w:nsid w:val="32A7AF2D"/>
    <w:multiLevelType w:val="multilevel"/>
    <w:tmpl w:val="32A7AF2D"/>
    <w:lvl w:ilvl="0" w:tentative="0">
      <w:start w:val="1"/>
      <w:numFmt w:val="decimal"/>
      <w:lvlText w:val="（%1）"/>
      <w:lvlJc w:val="left"/>
      <w:pPr>
        <w:ind w:left="220" w:hanging="604"/>
        <w:jc w:val="left"/>
      </w:pPr>
      <w:rPr>
        <w:rFonts w:hint="default" w:ascii="宋体" w:hAnsi="宋体" w:eastAsia="宋体" w:cs="宋体"/>
        <w:w w:val="100"/>
        <w:sz w:val="22"/>
        <w:szCs w:val="22"/>
      </w:rPr>
    </w:lvl>
    <w:lvl w:ilvl="1" w:tentative="0">
      <w:start w:val="0"/>
      <w:numFmt w:val="bullet"/>
      <w:lvlText w:val="•"/>
      <w:lvlJc w:val="left"/>
      <w:pPr>
        <w:ind w:left="1180" w:hanging="604"/>
      </w:pPr>
      <w:rPr>
        <w:rFonts w:hint="default"/>
      </w:rPr>
    </w:lvl>
    <w:lvl w:ilvl="2" w:tentative="0">
      <w:start w:val="0"/>
      <w:numFmt w:val="bullet"/>
      <w:lvlText w:val="•"/>
      <w:lvlJc w:val="left"/>
      <w:pPr>
        <w:ind w:left="2141" w:hanging="604"/>
      </w:pPr>
      <w:rPr>
        <w:rFonts w:hint="default"/>
      </w:rPr>
    </w:lvl>
    <w:lvl w:ilvl="3" w:tentative="0">
      <w:start w:val="0"/>
      <w:numFmt w:val="bullet"/>
      <w:lvlText w:val="•"/>
      <w:lvlJc w:val="left"/>
      <w:pPr>
        <w:ind w:left="3101" w:hanging="604"/>
      </w:pPr>
      <w:rPr>
        <w:rFonts w:hint="default"/>
      </w:rPr>
    </w:lvl>
    <w:lvl w:ilvl="4" w:tentative="0">
      <w:start w:val="0"/>
      <w:numFmt w:val="bullet"/>
      <w:lvlText w:val="•"/>
      <w:lvlJc w:val="left"/>
      <w:pPr>
        <w:ind w:left="4062" w:hanging="604"/>
      </w:pPr>
      <w:rPr>
        <w:rFonts w:hint="default"/>
      </w:rPr>
    </w:lvl>
    <w:lvl w:ilvl="5" w:tentative="0">
      <w:start w:val="0"/>
      <w:numFmt w:val="bullet"/>
      <w:lvlText w:val="•"/>
      <w:lvlJc w:val="left"/>
      <w:pPr>
        <w:ind w:left="5023" w:hanging="604"/>
      </w:pPr>
      <w:rPr>
        <w:rFonts w:hint="default"/>
      </w:rPr>
    </w:lvl>
    <w:lvl w:ilvl="6" w:tentative="0">
      <w:start w:val="0"/>
      <w:numFmt w:val="bullet"/>
      <w:lvlText w:val="•"/>
      <w:lvlJc w:val="left"/>
      <w:pPr>
        <w:ind w:left="5983" w:hanging="604"/>
      </w:pPr>
      <w:rPr>
        <w:rFonts w:hint="default"/>
      </w:rPr>
    </w:lvl>
    <w:lvl w:ilvl="7" w:tentative="0">
      <w:start w:val="0"/>
      <w:numFmt w:val="bullet"/>
      <w:lvlText w:val="•"/>
      <w:lvlJc w:val="left"/>
      <w:pPr>
        <w:ind w:left="6944" w:hanging="604"/>
      </w:pPr>
      <w:rPr>
        <w:rFonts w:hint="default"/>
      </w:rPr>
    </w:lvl>
    <w:lvl w:ilvl="8" w:tentative="0">
      <w:start w:val="0"/>
      <w:numFmt w:val="bullet"/>
      <w:lvlText w:val="•"/>
      <w:lvlJc w:val="left"/>
      <w:pPr>
        <w:ind w:left="7904" w:hanging="604"/>
      </w:pPr>
      <w:rPr>
        <w:rFonts w:hint="default"/>
      </w:rPr>
    </w:lvl>
  </w:abstractNum>
  <w:abstractNum w:abstractNumId="55">
    <w:nsid w:val="35E83B33"/>
    <w:multiLevelType w:val="multilevel"/>
    <w:tmpl w:val="35E83B33"/>
    <w:lvl w:ilvl="0" w:tentative="0">
      <w:start w:val="1"/>
      <w:numFmt w:val="decimal"/>
      <w:lvlText w:val="（%1）"/>
      <w:lvlJc w:val="left"/>
      <w:pPr>
        <w:ind w:left="1301" w:hanging="601"/>
        <w:jc w:val="left"/>
      </w:pPr>
      <w:rPr>
        <w:rFonts w:hint="default" w:ascii="宋体" w:hAnsi="宋体" w:eastAsia="宋体" w:cs="宋体"/>
        <w:spacing w:val="-2"/>
        <w:w w:val="100"/>
        <w:sz w:val="22"/>
        <w:szCs w:val="22"/>
      </w:rPr>
    </w:lvl>
    <w:lvl w:ilvl="1" w:tentative="0">
      <w:start w:val="0"/>
      <w:numFmt w:val="bullet"/>
      <w:lvlText w:val="•"/>
      <w:lvlJc w:val="left"/>
      <w:pPr>
        <w:ind w:left="2152" w:hanging="601"/>
      </w:pPr>
      <w:rPr>
        <w:rFonts w:hint="default"/>
      </w:rPr>
    </w:lvl>
    <w:lvl w:ilvl="2" w:tentative="0">
      <w:start w:val="0"/>
      <w:numFmt w:val="bullet"/>
      <w:lvlText w:val="•"/>
      <w:lvlJc w:val="left"/>
      <w:pPr>
        <w:ind w:left="3005" w:hanging="601"/>
      </w:pPr>
      <w:rPr>
        <w:rFonts w:hint="default"/>
      </w:rPr>
    </w:lvl>
    <w:lvl w:ilvl="3" w:tentative="0">
      <w:start w:val="0"/>
      <w:numFmt w:val="bullet"/>
      <w:lvlText w:val="•"/>
      <w:lvlJc w:val="left"/>
      <w:pPr>
        <w:ind w:left="3857" w:hanging="601"/>
      </w:pPr>
      <w:rPr>
        <w:rFonts w:hint="default"/>
      </w:rPr>
    </w:lvl>
    <w:lvl w:ilvl="4" w:tentative="0">
      <w:start w:val="0"/>
      <w:numFmt w:val="bullet"/>
      <w:lvlText w:val="•"/>
      <w:lvlJc w:val="left"/>
      <w:pPr>
        <w:ind w:left="4710" w:hanging="601"/>
      </w:pPr>
      <w:rPr>
        <w:rFonts w:hint="default"/>
      </w:rPr>
    </w:lvl>
    <w:lvl w:ilvl="5" w:tentative="0">
      <w:start w:val="0"/>
      <w:numFmt w:val="bullet"/>
      <w:lvlText w:val="•"/>
      <w:lvlJc w:val="left"/>
      <w:pPr>
        <w:ind w:left="5563" w:hanging="601"/>
      </w:pPr>
      <w:rPr>
        <w:rFonts w:hint="default"/>
      </w:rPr>
    </w:lvl>
    <w:lvl w:ilvl="6" w:tentative="0">
      <w:start w:val="0"/>
      <w:numFmt w:val="bullet"/>
      <w:lvlText w:val="•"/>
      <w:lvlJc w:val="left"/>
      <w:pPr>
        <w:ind w:left="6415" w:hanging="601"/>
      </w:pPr>
      <w:rPr>
        <w:rFonts w:hint="default"/>
      </w:rPr>
    </w:lvl>
    <w:lvl w:ilvl="7" w:tentative="0">
      <w:start w:val="0"/>
      <w:numFmt w:val="bullet"/>
      <w:lvlText w:val="•"/>
      <w:lvlJc w:val="left"/>
      <w:pPr>
        <w:ind w:left="7268" w:hanging="601"/>
      </w:pPr>
      <w:rPr>
        <w:rFonts w:hint="default"/>
      </w:rPr>
    </w:lvl>
    <w:lvl w:ilvl="8" w:tentative="0">
      <w:start w:val="0"/>
      <w:numFmt w:val="bullet"/>
      <w:lvlText w:val="•"/>
      <w:lvlJc w:val="left"/>
      <w:pPr>
        <w:ind w:left="8120" w:hanging="601"/>
      </w:pPr>
      <w:rPr>
        <w:rFonts w:hint="default"/>
      </w:rPr>
    </w:lvl>
  </w:abstractNum>
  <w:abstractNum w:abstractNumId="56">
    <w:nsid w:val="38EAC418"/>
    <w:multiLevelType w:val="multilevel"/>
    <w:tmpl w:val="38EAC418"/>
    <w:lvl w:ilvl="0" w:tentative="0">
      <w:start w:val="1"/>
      <w:numFmt w:val="decimal"/>
      <w:lvlText w:val="%1"/>
      <w:lvlJc w:val="left"/>
      <w:pPr>
        <w:ind w:left="220" w:hanging="306"/>
        <w:jc w:val="left"/>
      </w:pPr>
      <w:rPr>
        <w:rFonts w:hint="default"/>
      </w:rPr>
    </w:lvl>
    <w:lvl w:ilvl="1" w:tentative="0">
      <w:start w:val="1"/>
      <w:numFmt w:val="decimal"/>
      <w:lvlText w:val="%1.%2"/>
      <w:lvlJc w:val="left"/>
      <w:pPr>
        <w:ind w:left="220" w:hanging="306"/>
        <w:jc w:val="left"/>
      </w:pPr>
      <w:rPr>
        <w:rFonts w:hint="default" w:ascii="Calibri" w:hAnsi="Calibri" w:eastAsia="Calibri" w:cs="Calibri"/>
        <w:spacing w:val="-1"/>
        <w:w w:val="100"/>
        <w:sz w:val="22"/>
        <w:szCs w:val="22"/>
      </w:rPr>
    </w:lvl>
    <w:lvl w:ilvl="2" w:tentative="0">
      <w:start w:val="0"/>
      <w:numFmt w:val="bullet"/>
      <w:lvlText w:val="•"/>
      <w:lvlJc w:val="left"/>
      <w:pPr>
        <w:ind w:left="2141" w:hanging="306"/>
      </w:pPr>
      <w:rPr>
        <w:rFonts w:hint="default"/>
      </w:rPr>
    </w:lvl>
    <w:lvl w:ilvl="3" w:tentative="0">
      <w:start w:val="0"/>
      <w:numFmt w:val="bullet"/>
      <w:lvlText w:val="•"/>
      <w:lvlJc w:val="left"/>
      <w:pPr>
        <w:ind w:left="3101" w:hanging="306"/>
      </w:pPr>
      <w:rPr>
        <w:rFonts w:hint="default"/>
      </w:rPr>
    </w:lvl>
    <w:lvl w:ilvl="4" w:tentative="0">
      <w:start w:val="0"/>
      <w:numFmt w:val="bullet"/>
      <w:lvlText w:val="•"/>
      <w:lvlJc w:val="left"/>
      <w:pPr>
        <w:ind w:left="4062" w:hanging="306"/>
      </w:pPr>
      <w:rPr>
        <w:rFonts w:hint="default"/>
      </w:rPr>
    </w:lvl>
    <w:lvl w:ilvl="5" w:tentative="0">
      <w:start w:val="0"/>
      <w:numFmt w:val="bullet"/>
      <w:lvlText w:val="•"/>
      <w:lvlJc w:val="left"/>
      <w:pPr>
        <w:ind w:left="5023" w:hanging="306"/>
      </w:pPr>
      <w:rPr>
        <w:rFonts w:hint="default"/>
      </w:rPr>
    </w:lvl>
    <w:lvl w:ilvl="6" w:tentative="0">
      <w:start w:val="0"/>
      <w:numFmt w:val="bullet"/>
      <w:lvlText w:val="•"/>
      <w:lvlJc w:val="left"/>
      <w:pPr>
        <w:ind w:left="5983" w:hanging="306"/>
      </w:pPr>
      <w:rPr>
        <w:rFonts w:hint="default"/>
      </w:rPr>
    </w:lvl>
    <w:lvl w:ilvl="7" w:tentative="0">
      <w:start w:val="0"/>
      <w:numFmt w:val="bullet"/>
      <w:lvlText w:val="•"/>
      <w:lvlJc w:val="left"/>
      <w:pPr>
        <w:ind w:left="6944" w:hanging="306"/>
      </w:pPr>
      <w:rPr>
        <w:rFonts w:hint="default"/>
      </w:rPr>
    </w:lvl>
    <w:lvl w:ilvl="8" w:tentative="0">
      <w:start w:val="0"/>
      <w:numFmt w:val="bullet"/>
      <w:lvlText w:val="•"/>
      <w:lvlJc w:val="left"/>
      <w:pPr>
        <w:ind w:left="7904" w:hanging="306"/>
      </w:pPr>
      <w:rPr>
        <w:rFonts w:hint="default"/>
      </w:rPr>
    </w:lvl>
  </w:abstractNum>
  <w:abstractNum w:abstractNumId="57">
    <w:nsid w:val="39A0D9AC"/>
    <w:multiLevelType w:val="multilevel"/>
    <w:tmpl w:val="39A0D9AC"/>
    <w:lvl w:ilvl="0" w:tentative="0">
      <w:start w:val="10"/>
      <w:numFmt w:val="decimal"/>
      <w:lvlText w:val="%1"/>
      <w:lvlJc w:val="left"/>
      <w:pPr>
        <w:ind w:left="704" w:hanging="485"/>
        <w:jc w:val="left"/>
      </w:pPr>
      <w:rPr>
        <w:rFonts w:hint="default"/>
      </w:rPr>
    </w:lvl>
    <w:lvl w:ilvl="1" w:tentative="0">
      <w:start w:val="9"/>
      <w:numFmt w:val="decimal"/>
      <w:lvlText w:val="%1.%2"/>
      <w:lvlJc w:val="left"/>
      <w:pPr>
        <w:ind w:left="704" w:hanging="485"/>
        <w:jc w:val="right"/>
      </w:pPr>
      <w:rPr>
        <w:rFonts w:hint="default" w:ascii="Calibri" w:hAnsi="Calibri" w:eastAsia="Calibri" w:cs="Calibri"/>
        <w:spacing w:val="-1"/>
        <w:w w:val="100"/>
        <w:sz w:val="24"/>
        <w:szCs w:val="24"/>
      </w:rPr>
    </w:lvl>
    <w:lvl w:ilvl="2" w:tentative="0">
      <w:start w:val="0"/>
      <w:numFmt w:val="bullet"/>
      <w:lvlText w:val="•"/>
      <w:lvlJc w:val="left"/>
      <w:pPr>
        <w:ind w:left="2525" w:hanging="485"/>
      </w:pPr>
      <w:rPr>
        <w:rFonts w:hint="default"/>
      </w:rPr>
    </w:lvl>
    <w:lvl w:ilvl="3" w:tentative="0">
      <w:start w:val="0"/>
      <w:numFmt w:val="bullet"/>
      <w:lvlText w:val="•"/>
      <w:lvlJc w:val="left"/>
      <w:pPr>
        <w:ind w:left="3437" w:hanging="485"/>
      </w:pPr>
      <w:rPr>
        <w:rFonts w:hint="default"/>
      </w:rPr>
    </w:lvl>
    <w:lvl w:ilvl="4" w:tentative="0">
      <w:start w:val="0"/>
      <w:numFmt w:val="bullet"/>
      <w:lvlText w:val="•"/>
      <w:lvlJc w:val="left"/>
      <w:pPr>
        <w:ind w:left="4350" w:hanging="485"/>
      </w:pPr>
      <w:rPr>
        <w:rFonts w:hint="default"/>
      </w:rPr>
    </w:lvl>
    <w:lvl w:ilvl="5" w:tentative="0">
      <w:start w:val="0"/>
      <w:numFmt w:val="bullet"/>
      <w:lvlText w:val="•"/>
      <w:lvlJc w:val="left"/>
      <w:pPr>
        <w:ind w:left="5263" w:hanging="485"/>
      </w:pPr>
      <w:rPr>
        <w:rFonts w:hint="default"/>
      </w:rPr>
    </w:lvl>
    <w:lvl w:ilvl="6" w:tentative="0">
      <w:start w:val="0"/>
      <w:numFmt w:val="bullet"/>
      <w:lvlText w:val="•"/>
      <w:lvlJc w:val="left"/>
      <w:pPr>
        <w:ind w:left="6175" w:hanging="485"/>
      </w:pPr>
      <w:rPr>
        <w:rFonts w:hint="default"/>
      </w:rPr>
    </w:lvl>
    <w:lvl w:ilvl="7" w:tentative="0">
      <w:start w:val="0"/>
      <w:numFmt w:val="bullet"/>
      <w:lvlText w:val="•"/>
      <w:lvlJc w:val="left"/>
      <w:pPr>
        <w:ind w:left="7088" w:hanging="485"/>
      </w:pPr>
      <w:rPr>
        <w:rFonts w:hint="default"/>
      </w:rPr>
    </w:lvl>
    <w:lvl w:ilvl="8" w:tentative="0">
      <w:start w:val="0"/>
      <w:numFmt w:val="bullet"/>
      <w:lvlText w:val="•"/>
      <w:lvlJc w:val="left"/>
      <w:pPr>
        <w:ind w:left="8000" w:hanging="485"/>
      </w:pPr>
      <w:rPr>
        <w:rFonts w:hint="default"/>
      </w:rPr>
    </w:lvl>
  </w:abstractNum>
  <w:abstractNum w:abstractNumId="58">
    <w:nsid w:val="3A7FBA26"/>
    <w:multiLevelType w:val="multilevel"/>
    <w:tmpl w:val="3A7FBA26"/>
    <w:lvl w:ilvl="0" w:tentative="0">
      <w:start w:val="2"/>
      <w:numFmt w:val="decimal"/>
      <w:lvlText w:val="%1"/>
      <w:lvlJc w:val="left"/>
      <w:pPr>
        <w:ind w:left="220" w:hanging="363"/>
        <w:jc w:val="left"/>
      </w:pPr>
      <w:rPr>
        <w:rFonts w:hint="default"/>
      </w:rPr>
    </w:lvl>
    <w:lvl w:ilvl="1" w:tentative="0">
      <w:start w:val="1"/>
      <w:numFmt w:val="decimal"/>
      <w:lvlText w:val="%1.%2"/>
      <w:lvlJc w:val="left"/>
      <w:pPr>
        <w:ind w:left="220" w:hanging="363"/>
        <w:jc w:val="left"/>
      </w:pPr>
      <w:rPr>
        <w:rFonts w:hint="default" w:ascii="Calibri" w:hAnsi="Calibri" w:eastAsia="Calibri" w:cs="Calibri"/>
        <w:spacing w:val="-1"/>
        <w:w w:val="100"/>
        <w:sz w:val="24"/>
        <w:szCs w:val="24"/>
      </w:rPr>
    </w:lvl>
    <w:lvl w:ilvl="2" w:tentative="0">
      <w:start w:val="0"/>
      <w:numFmt w:val="bullet"/>
      <w:lvlText w:val="•"/>
      <w:lvlJc w:val="left"/>
      <w:pPr>
        <w:ind w:left="2141" w:hanging="363"/>
      </w:pPr>
      <w:rPr>
        <w:rFonts w:hint="default"/>
      </w:rPr>
    </w:lvl>
    <w:lvl w:ilvl="3" w:tentative="0">
      <w:start w:val="0"/>
      <w:numFmt w:val="bullet"/>
      <w:lvlText w:val="•"/>
      <w:lvlJc w:val="left"/>
      <w:pPr>
        <w:ind w:left="3101" w:hanging="363"/>
      </w:pPr>
      <w:rPr>
        <w:rFonts w:hint="default"/>
      </w:rPr>
    </w:lvl>
    <w:lvl w:ilvl="4" w:tentative="0">
      <w:start w:val="0"/>
      <w:numFmt w:val="bullet"/>
      <w:lvlText w:val="•"/>
      <w:lvlJc w:val="left"/>
      <w:pPr>
        <w:ind w:left="4062" w:hanging="363"/>
      </w:pPr>
      <w:rPr>
        <w:rFonts w:hint="default"/>
      </w:rPr>
    </w:lvl>
    <w:lvl w:ilvl="5" w:tentative="0">
      <w:start w:val="0"/>
      <w:numFmt w:val="bullet"/>
      <w:lvlText w:val="•"/>
      <w:lvlJc w:val="left"/>
      <w:pPr>
        <w:ind w:left="5023" w:hanging="363"/>
      </w:pPr>
      <w:rPr>
        <w:rFonts w:hint="default"/>
      </w:rPr>
    </w:lvl>
    <w:lvl w:ilvl="6" w:tentative="0">
      <w:start w:val="0"/>
      <w:numFmt w:val="bullet"/>
      <w:lvlText w:val="•"/>
      <w:lvlJc w:val="left"/>
      <w:pPr>
        <w:ind w:left="5983" w:hanging="363"/>
      </w:pPr>
      <w:rPr>
        <w:rFonts w:hint="default"/>
      </w:rPr>
    </w:lvl>
    <w:lvl w:ilvl="7" w:tentative="0">
      <w:start w:val="0"/>
      <w:numFmt w:val="bullet"/>
      <w:lvlText w:val="•"/>
      <w:lvlJc w:val="left"/>
      <w:pPr>
        <w:ind w:left="6944" w:hanging="363"/>
      </w:pPr>
      <w:rPr>
        <w:rFonts w:hint="default"/>
      </w:rPr>
    </w:lvl>
    <w:lvl w:ilvl="8" w:tentative="0">
      <w:start w:val="0"/>
      <w:numFmt w:val="bullet"/>
      <w:lvlText w:val="•"/>
      <w:lvlJc w:val="left"/>
      <w:pPr>
        <w:ind w:left="7904" w:hanging="363"/>
      </w:pPr>
      <w:rPr>
        <w:rFonts w:hint="default"/>
      </w:rPr>
    </w:lvl>
  </w:abstractNum>
  <w:abstractNum w:abstractNumId="59">
    <w:nsid w:val="3F4A20EC"/>
    <w:multiLevelType w:val="singleLevel"/>
    <w:tmpl w:val="3F4A20EC"/>
    <w:lvl w:ilvl="0" w:tentative="0">
      <w:start w:val="4"/>
      <w:numFmt w:val="decimal"/>
      <w:suff w:val="nothing"/>
      <w:lvlText w:val="%1、"/>
      <w:lvlJc w:val="left"/>
    </w:lvl>
  </w:abstractNum>
  <w:abstractNum w:abstractNumId="60">
    <w:nsid w:val="3FE315B6"/>
    <w:multiLevelType w:val="multilevel"/>
    <w:tmpl w:val="3FE315B6"/>
    <w:lvl w:ilvl="0" w:tentative="0">
      <w:start w:val="1"/>
      <w:numFmt w:val="decimal"/>
      <w:lvlText w:val="（%1）"/>
      <w:lvlJc w:val="left"/>
      <w:pPr>
        <w:ind w:left="1301" w:hanging="601"/>
        <w:jc w:val="left"/>
      </w:pPr>
      <w:rPr>
        <w:rFonts w:hint="default" w:ascii="宋体" w:hAnsi="宋体" w:eastAsia="宋体" w:cs="宋体"/>
        <w:spacing w:val="-2"/>
        <w:w w:val="100"/>
        <w:sz w:val="22"/>
        <w:szCs w:val="22"/>
      </w:rPr>
    </w:lvl>
    <w:lvl w:ilvl="1" w:tentative="0">
      <w:start w:val="0"/>
      <w:numFmt w:val="bullet"/>
      <w:lvlText w:val="•"/>
      <w:lvlJc w:val="left"/>
      <w:pPr>
        <w:ind w:left="2152" w:hanging="601"/>
      </w:pPr>
      <w:rPr>
        <w:rFonts w:hint="default"/>
      </w:rPr>
    </w:lvl>
    <w:lvl w:ilvl="2" w:tentative="0">
      <w:start w:val="0"/>
      <w:numFmt w:val="bullet"/>
      <w:lvlText w:val="•"/>
      <w:lvlJc w:val="left"/>
      <w:pPr>
        <w:ind w:left="3005" w:hanging="601"/>
      </w:pPr>
      <w:rPr>
        <w:rFonts w:hint="default"/>
      </w:rPr>
    </w:lvl>
    <w:lvl w:ilvl="3" w:tentative="0">
      <w:start w:val="0"/>
      <w:numFmt w:val="bullet"/>
      <w:lvlText w:val="•"/>
      <w:lvlJc w:val="left"/>
      <w:pPr>
        <w:ind w:left="3857" w:hanging="601"/>
      </w:pPr>
      <w:rPr>
        <w:rFonts w:hint="default"/>
      </w:rPr>
    </w:lvl>
    <w:lvl w:ilvl="4" w:tentative="0">
      <w:start w:val="0"/>
      <w:numFmt w:val="bullet"/>
      <w:lvlText w:val="•"/>
      <w:lvlJc w:val="left"/>
      <w:pPr>
        <w:ind w:left="4710" w:hanging="601"/>
      </w:pPr>
      <w:rPr>
        <w:rFonts w:hint="default"/>
      </w:rPr>
    </w:lvl>
    <w:lvl w:ilvl="5" w:tentative="0">
      <w:start w:val="0"/>
      <w:numFmt w:val="bullet"/>
      <w:lvlText w:val="•"/>
      <w:lvlJc w:val="left"/>
      <w:pPr>
        <w:ind w:left="5563" w:hanging="601"/>
      </w:pPr>
      <w:rPr>
        <w:rFonts w:hint="default"/>
      </w:rPr>
    </w:lvl>
    <w:lvl w:ilvl="6" w:tentative="0">
      <w:start w:val="0"/>
      <w:numFmt w:val="bullet"/>
      <w:lvlText w:val="•"/>
      <w:lvlJc w:val="left"/>
      <w:pPr>
        <w:ind w:left="6415" w:hanging="601"/>
      </w:pPr>
      <w:rPr>
        <w:rFonts w:hint="default"/>
      </w:rPr>
    </w:lvl>
    <w:lvl w:ilvl="7" w:tentative="0">
      <w:start w:val="0"/>
      <w:numFmt w:val="bullet"/>
      <w:lvlText w:val="•"/>
      <w:lvlJc w:val="left"/>
      <w:pPr>
        <w:ind w:left="7268" w:hanging="601"/>
      </w:pPr>
      <w:rPr>
        <w:rFonts w:hint="default"/>
      </w:rPr>
    </w:lvl>
    <w:lvl w:ilvl="8" w:tentative="0">
      <w:start w:val="0"/>
      <w:numFmt w:val="bullet"/>
      <w:lvlText w:val="•"/>
      <w:lvlJc w:val="left"/>
      <w:pPr>
        <w:ind w:left="8120" w:hanging="601"/>
      </w:pPr>
      <w:rPr>
        <w:rFonts w:hint="default"/>
      </w:rPr>
    </w:lvl>
  </w:abstractNum>
  <w:abstractNum w:abstractNumId="61">
    <w:nsid w:val="40B249F9"/>
    <w:multiLevelType w:val="multilevel"/>
    <w:tmpl w:val="40B249F9"/>
    <w:lvl w:ilvl="0" w:tentative="0">
      <w:start w:val="1"/>
      <w:numFmt w:val="decimal"/>
      <w:lvlText w:val="（%1）"/>
      <w:lvlJc w:val="left"/>
      <w:pPr>
        <w:ind w:left="1301" w:hanging="601"/>
        <w:jc w:val="left"/>
      </w:pPr>
      <w:rPr>
        <w:rFonts w:hint="default" w:ascii="宋体" w:hAnsi="宋体" w:eastAsia="宋体" w:cs="宋体"/>
        <w:spacing w:val="-2"/>
        <w:w w:val="100"/>
        <w:sz w:val="22"/>
        <w:szCs w:val="22"/>
      </w:rPr>
    </w:lvl>
    <w:lvl w:ilvl="1" w:tentative="0">
      <w:start w:val="0"/>
      <w:numFmt w:val="bullet"/>
      <w:lvlText w:val="•"/>
      <w:lvlJc w:val="left"/>
      <w:pPr>
        <w:ind w:left="2152" w:hanging="601"/>
      </w:pPr>
      <w:rPr>
        <w:rFonts w:hint="default"/>
      </w:rPr>
    </w:lvl>
    <w:lvl w:ilvl="2" w:tentative="0">
      <w:start w:val="0"/>
      <w:numFmt w:val="bullet"/>
      <w:lvlText w:val="•"/>
      <w:lvlJc w:val="left"/>
      <w:pPr>
        <w:ind w:left="3005" w:hanging="601"/>
      </w:pPr>
      <w:rPr>
        <w:rFonts w:hint="default"/>
      </w:rPr>
    </w:lvl>
    <w:lvl w:ilvl="3" w:tentative="0">
      <w:start w:val="0"/>
      <w:numFmt w:val="bullet"/>
      <w:lvlText w:val="•"/>
      <w:lvlJc w:val="left"/>
      <w:pPr>
        <w:ind w:left="3857" w:hanging="601"/>
      </w:pPr>
      <w:rPr>
        <w:rFonts w:hint="default"/>
      </w:rPr>
    </w:lvl>
    <w:lvl w:ilvl="4" w:tentative="0">
      <w:start w:val="0"/>
      <w:numFmt w:val="bullet"/>
      <w:lvlText w:val="•"/>
      <w:lvlJc w:val="left"/>
      <w:pPr>
        <w:ind w:left="4710" w:hanging="601"/>
      </w:pPr>
      <w:rPr>
        <w:rFonts w:hint="default"/>
      </w:rPr>
    </w:lvl>
    <w:lvl w:ilvl="5" w:tentative="0">
      <w:start w:val="0"/>
      <w:numFmt w:val="bullet"/>
      <w:lvlText w:val="•"/>
      <w:lvlJc w:val="left"/>
      <w:pPr>
        <w:ind w:left="5563" w:hanging="601"/>
      </w:pPr>
      <w:rPr>
        <w:rFonts w:hint="default"/>
      </w:rPr>
    </w:lvl>
    <w:lvl w:ilvl="6" w:tentative="0">
      <w:start w:val="0"/>
      <w:numFmt w:val="bullet"/>
      <w:lvlText w:val="•"/>
      <w:lvlJc w:val="left"/>
      <w:pPr>
        <w:ind w:left="6415" w:hanging="601"/>
      </w:pPr>
      <w:rPr>
        <w:rFonts w:hint="default"/>
      </w:rPr>
    </w:lvl>
    <w:lvl w:ilvl="7" w:tentative="0">
      <w:start w:val="0"/>
      <w:numFmt w:val="bullet"/>
      <w:lvlText w:val="•"/>
      <w:lvlJc w:val="left"/>
      <w:pPr>
        <w:ind w:left="7268" w:hanging="601"/>
      </w:pPr>
      <w:rPr>
        <w:rFonts w:hint="default"/>
      </w:rPr>
    </w:lvl>
    <w:lvl w:ilvl="8" w:tentative="0">
      <w:start w:val="0"/>
      <w:numFmt w:val="bullet"/>
      <w:lvlText w:val="•"/>
      <w:lvlJc w:val="left"/>
      <w:pPr>
        <w:ind w:left="8120" w:hanging="601"/>
      </w:pPr>
      <w:rPr>
        <w:rFonts w:hint="default"/>
      </w:rPr>
    </w:lvl>
  </w:abstractNum>
  <w:abstractNum w:abstractNumId="62">
    <w:nsid w:val="4258023A"/>
    <w:multiLevelType w:val="multilevel"/>
    <w:tmpl w:val="4258023A"/>
    <w:lvl w:ilvl="0" w:tentative="0">
      <w:start w:val="1"/>
      <w:numFmt w:val="decimal"/>
      <w:lvlText w:val="%1"/>
      <w:lvlJc w:val="left"/>
      <w:pPr>
        <w:ind w:left="220" w:hanging="365"/>
        <w:jc w:val="left"/>
      </w:pPr>
      <w:rPr>
        <w:rFonts w:hint="default"/>
      </w:rPr>
    </w:lvl>
    <w:lvl w:ilvl="1" w:tentative="0">
      <w:start w:val="1"/>
      <w:numFmt w:val="decimal"/>
      <w:lvlText w:val="%1.%2"/>
      <w:lvlJc w:val="left"/>
      <w:pPr>
        <w:ind w:left="220" w:hanging="365"/>
        <w:jc w:val="left"/>
      </w:pPr>
      <w:rPr>
        <w:rFonts w:hint="default" w:ascii="Calibri" w:hAnsi="Calibri" w:eastAsia="Calibri" w:cs="Calibri"/>
        <w:spacing w:val="-1"/>
        <w:w w:val="100"/>
        <w:sz w:val="24"/>
        <w:szCs w:val="24"/>
      </w:rPr>
    </w:lvl>
    <w:lvl w:ilvl="2" w:tentative="0">
      <w:start w:val="0"/>
      <w:numFmt w:val="bullet"/>
      <w:lvlText w:val="•"/>
      <w:lvlJc w:val="left"/>
      <w:pPr>
        <w:ind w:left="2141" w:hanging="365"/>
      </w:pPr>
      <w:rPr>
        <w:rFonts w:hint="default"/>
      </w:rPr>
    </w:lvl>
    <w:lvl w:ilvl="3" w:tentative="0">
      <w:start w:val="0"/>
      <w:numFmt w:val="bullet"/>
      <w:lvlText w:val="•"/>
      <w:lvlJc w:val="left"/>
      <w:pPr>
        <w:ind w:left="3101" w:hanging="365"/>
      </w:pPr>
      <w:rPr>
        <w:rFonts w:hint="default"/>
      </w:rPr>
    </w:lvl>
    <w:lvl w:ilvl="4" w:tentative="0">
      <w:start w:val="0"/>
      <w:numFmt w:val="bullet"/>
      <w:lvlText w:val="•"/>
      <w:lvlJc w:val="left"/>
      <w:pPr>
        <w:ind w:left="4062" w:hanging="365"/>
      </w:pPr>
      <w:rPr>
        <w:rFonts w:hint="default"/>
      </w:rPr>
    </w:lvl>
    <w:lvl w:ilvl="5" w:tentative="0">
      <w:start w:val="0"/>
      <w:numFmt w:val="bullet"/>
      <w:lvlText w:val="•"/>
      <w:lvlJc w:val="left"/>
      <w:pPr>
        <w:ind w:left="5023" w:hanging="365"/>
      </w:pPr>
      <w:rPr>
        <w:rFonts w:hint="default"/>
      </w:rPr>
    </w:lvl>
    <w:lvl w:ilvl="6" w:tentative="0">
      <w:start w:val="0"/>
      <w:numFmt w:val="bullet"/>
      <w:lvlText w:val="•"/>
      <w:lvlJc w:val="left"/>
      <w:pPr>
        <w:ind w:left="5983" w:hanging="365"/>
      </w:pPr>
      <w:rPr>
        <w:rFonts w:hint="default"/>
      </w:rPr>
    </w:lvl>
    <w:lvl w:ilvl="7" w:tentative="0">
      <w:start w:val="0"/>
      <w:numFmt w:val="bullet"/>
      <w:lvlText w:val="•"/>
      <w:lvlJc w:val="left"/>
      <w:pPr>
        <w:ind w:left="6944" w:hanging="365"/>
      </w:pPr>
      <w:rPr>
        <w:rFonts w:hint="default"/>
      </w:rPr>
    </w:lvl>
    <w:lvl w:ilvl="8" w:tentative="0">
      <w:start w:val="0"/>
      <w:numFmt w:val="bullet"/>
      <w:lvlText w:val="•"/>
      <w:lvlJc w:val="left"/>
      <w:pPr>
        <w:ind w:left="7904" w:hanging="365"/>
      </w:pPr>
      <w:rPr>
        <w:rFonts w:hint="default"/>
      </w:rPr>
    </w:lvl>
  </w:abstractNum>
  <w:abstractNum w:abstractNumId="63">
    <w:nsid w:val="46A08BB8"/>
    <w:multiLevelType w:val="multilevel"/>
    <w:tmpl w:val="46A08BB8"/>
    <w:lvl w:ilvl="0" w:tentative="0">
      <w:start w:val="1"/>
      <w:numFmt w:val="decimal"/>
      <w:lvlText w:val="（%1）"/>
      <w:lvlJc w:val="left"/>
      <w:pPr>
        <w:ind w:left="220" w:hanging="604"/>
        <w:jc w:val="left"/>
      </w:pPr>
      <w:rPr>
        <w:rFonts w:hint="default" w:ascii="宋体" w:hAnsi="宋体" w:eastAsia="宋体" w:cs="宋体"/>
        <w:w w:val="100"/>
        <w:sz w:val="22"/>
        <w:szCs w:val="22"/>
      </w:rPr>
    </w:lvl>
    <w:lvl w:ilvl="1" w:tentative="0">
      <w:start w:val="0"/>
      <w:numFmt w:val="bullet"/>
      <w:lvlText w:val="•"/>
      <w:lvlJc w:val="left"/>
      <w:pPr>
        <w:ind w:left="1180" w:hanging="604"/>
      </w:pPr>
      <w:rPr>
        <w:rFonts w:hint="default"/>
      </w:rPr>
    </w:lvl>
    <w:lvl w:ilvl="2" w:tentative="0">
      <w:start w:val="0"/>
      <w:numFmt w:val="bullet"/>
      <w:lvlText w:val="•"/>
      <w:lvlJc w:val="left"/>
      <w:pPr>
        <w:ind w:left="2141" w:hanging="604"/>
      </w:pPr>
      <w:rPr>
        <w:rFonts w:hint="default"/>
      </w:rPr>
    </w:lvl>
    <w:lvl w:ilvl="3" w:tentative="0">
      <w:start w:val="0"/>
      <w:numFmt w:val="bullet"/>
      <w:lvlText w:val="•"/>
      <w:lvlJc w:val="left"/>
      <w:pPr>
        <w:ind w:left="3101" w:hanging="604"/>
      </w:pPr>
      <w:rPr>
        <w:rFonts w:hint="default"/>
      </w:rPr>
    </w:lvl>
    <w:lvl w:ilvl="4" w:tentative="0">
      <w:start w:val="0"/>
      <w:numFmt w:val="bullet"/>
      <w:lvlText w:val="•"/>
      <w:lvlJc w:val="left"/>
      <w:pPr>
        <w:ind w:left="4062" w:hanging="604"/>
      </w:pPr>
      <w:rPr>
        <w:rFonts w:hint="default"/>
      </w:rPr>
    </w:lvl>
    <w:lvl w:ilvl="5" w:tentative="0">
      <w:start w:val="0"/>
      <w:numFmt w:val="bullet"/>
      <w:lvlText w:val="•"/>
      <w:lvlJc w:val="left"/>
      <w:pPr>
        <w:ind w:left="5023" w:hanging="604"/>
      </w:pPr>
      <w:rPr>
        <w:rFonts w:hint="default"/>
      </w:rPr>
    </w:lvl>
    <w:lvl w:ilvl="6" w:tentative="0">
      <w:start w:val="0"/>
      <w:numFmt w:val="bullet"/>
      <w:lvlText w:val="•"/>
      <w:lvlJc w:val="left"/>
      <w:pPr>
        <w:ind w:left="5983" w:hanging="604"/>
      </w:pPr>
      <w:rPr>
        <w:rFonts w:hint="default"/>
      </w:rPr>
    </w:lvl>
    <w:lvl w:ilvl="7" w:tentative="0">
      <w:start w:val="0"/>
      <w:numFmt w:val="bullet"/>
      <w:lvlText w:val="•"/>
      <w:lvlJc w:val="left"/>
      <w:pPr>
        <w:ind w:left="6944" w:hanging="604"/>
      </w:pPr>
      <w:rPr>
        <w:rFonts w:hint="default"/>
      </w:rPr>
    </w:lvl>
    <w:lvl w:ilvl="8" w:tentative="0">
      <w:start w:val="0"/>
      <w:numFmt w:val="bullet"/>
      <w:lvlText w:val="•"/>
      <w:lvlJc w:val="left"/>
      <w:pPr>
        <w:ind w:left="7904" w:hanging="604"/>
      </w:pPr>
      <w:rPr>
        <w:rFonts w:hint="default"/>
      </w:rPr>
    </w:lvl>
  </w:abstractNum>
  <w:abstractNum w:abstractNumId="64">
    <w:nsid w:val="4C1BAE26"/>
    <w:multiLevelType w:val="multilevel"/>
    <w:tmpl w:val="4C1BAE26"/>
    <w:lvl w:ilvl="0" w:tentative="0">
      <w:start w:val="10"/>
      <w:numFmt w:val="decimal"/>
      <w:lvlText w:val="%1"/>
      <w:lvlJc w:val="left"/>
      <w:pPr>
        <w:ind w:left="1184" w:hanging="485"/>
        <w:jc w:val="left"/>
      </w:pPr>
      <w:rPr>
        <w:rFonts w:hint="default"/>
      </w:rPr>
    </w:lvl>
    <w:lvl w:ilvl="1" w:tentative="0">
      <w:start w:val="1"/>
      <w:numFmt w:val="decimal"/>
      <w:lvlText w:val="%1.%2"/>
      <w:lvlJc w:val="left"/>
      <w:pPr>
        <w:ind w:left="1184" w:hanging="485"/>
        <w:jc w:val="left"/>
      </w:pPr>
      <w:rPr>
        <w:rFonts w:hint="default" w:ascii="Calibri" w:hAnsi="Calibri" w:eastAsia="Calibri" w:cs="Calibri"/>
        <w:spacing w:val="-1"/>
        <w:w w:val="100"/>
        <w:sz w:val="24"/>
        <w:szCs w:val="24"/>
      </w:rPr>
    </w:lvl>
    <w:lvl w:ilvl="2" w:tentative="0">
      <w:start w:val="0"/>
      <w:numFmt w:val="bullet"/>
      <w:lvlText w:val="•"/>
      <w:lvlJc w:val="left"/>
      <w:pPr>
        <w:ind w:left="2909" w:hanging="485"/>
      </w:pPr>
      <w:rPr>
        <w:rFonts w:hint="default"/>
      </w:rPr>
    </w:lvl>
    <w:lvl w:ilvl="3" w:tentative="0">
      <w:start w:val="0"/>
      <w:numFmt w:val="bullet"/>
      <w:lvlText w:val="•"/>
      <w:lvlJc w:val="left"/>
      <w:pPr>
        <w:ind w:left="3773" w:hanging="485"/>
      </w:pPr>
      <w:rPr>
        <w:rFonts w:hint="default"/>
      </w:rPr>
    </w:lvl>
    <w:lvl w:ilvl="4" w:tentative="0">
      <w:start w:val="0"/>
      <w:numFmt w:val="bullet"/>
      <w:lvlText w:val="•"/>
      <w:lvlJc w:val="left"/>
      <w:pPr>
        <w:ind w:left="4638" w:hanging="485"/>
      </w:pPr>
      <w:rPr>
        <w:rFonts w:hint="default"/>
      </w:rPr>
    </w:lvl>
    <w:lvl w:ilvl="5" w:tentative="0">
      <w:start w:val="0"/>
      <w:numFmt w:val="bullet"/>
      <w:lvlText w:val="•"/>
      <w:lvlJc w:val="left"/>
      <w:pPr>
        <w:ind w:left="5503" w:hanging="485"/>
      </w:pPr>
      <w:rPr>
        <w:rFonts w:hint="default"/>
      </w:rPr>
    </w:lvl>
    <w:lvl w:ilvl="6" w:tentative="0">
      <w:start w:val="0"/>
      <w:numFmt w:val="bullet"/>
      <w:lvlText w:val="•"/>
      <w:lvlJc w:val="left"/>
      <w:pPr>
        <w:ind w:left="6367" w:hanging="485"/>
      </w:pPr>
      <w:rPr>
        <w:rFonts w:hint="default"/>
      </w:rPr>
    </w:lvl>
    <w:lvl w:ilvl="7" w:tentative="0">
      <w:start w:val="0"/>
      <w:numFmt w:val="bullet"/>
      <w:lvlText w:val="•"/>
      <w:lvlJc w:val="left"/>
      <w:pPr>
        <w:ind w:left="7232" w:hanging="485"/>
      </w:pPr>
      <w:rPr>
        <w:rFonts w:hint="default"/>
      </w:rPr>
    </w:lvl>
    <w:lvl w:ilvl="8" w:tentative="0">
      <w:start w:val="0"/>
      <w:numFmt w:val="bullet"/>
      <w:lvlText w:val="•"/>
      <w:lvlJc w:val="left"/>
      <w:pPr>
        <w:ind w:left="8096" w:hanging="485"/>
      </w:pPr>
      <w:rPr>
        <w:rFonts w:hint="default"/>
      </w:rPr>
    </w:lvl>
  </w:abstractNum>
  <w:abstractNum w:abstractNumId="65">
    <w:nsid w:val="4C3D7A74"/>
    <w:multiLevelType w:val="multilevel"/>
    <w:tmpl w:val="4C3D7A74"/>
    <w:lvl w:ilvl="0" w:tentative="0">
      <w:start w:val="1"/>
      <w:numFmt w:val="decimal"/>
      <w:lvlText w:val="%1"/>
      <w:lvlJc w:val="left"/>
      <w:pPr>
        <w:ind w:left="1062" w:hanging="363"/>
        <w:jc w:val="left"/>
      </w:pPr>
      <w:rPr>
        <w:rFonts w:hint="default"/>
      </w:rPr>
    </w:lvl>
    <w:lvl w:ilvl="1" w:tentative="0">
      <w:start w:val="2"/>
      <w:numFmt w:val="decimal"/>
      <w:lvlText w:val="%1.%2"/>
      <w:lvlJc w:val="left"/>
      <w:pPr>
        <w:ind w:left="1062" w:hanging="363"/>
        <w:jc w:val="left"/>
      </w:pPr>
      <w:rPr>
        <w:rFonts w:hint="default" w:ascii="Calibri" w:hAnsi="Calibri" w:eastAsia="Calibri" w:cs="Calibri"/>
        <w:spacing w:val="-1"/>
        <w:w w:val="100"/>
        <w:sz w:val="24"/>
        <w:szCs w:val="24"/>
      </w:rPr>
    </w:lvl>
    <w:lvl w:ilvl="2" w:tentative="0">
      <w:start w:val="0"/>
      <w:numFmt w:val="bullet"/>
      <w:lvlText w:val="•"/>
      <w:lvlJc w:val="left"/>
      <w:pPr>
        <w:ind w:left="2813" w:hanging="363"/>
      </w:pPr>
      <w:rPr>
        <w:rFonts w:hint="default"/>
      </w:rPr>
    </w:lvl>
    <w:lvl w:ilvl="3" w:tentative="0">
      <w:start w:val="0"/>
      <w:numFmt w:val="bullet"/>
      <w:lvlText w:val="•"/>
      <w:lvlJc w:val="left"/>
      <w:pPr>
        <w:ind w:left="3689" w:hanging="363"/>
      </w:pPr>
      <w:rPr>
        <w:rFonts w:hint="default"/>
      </w:rPr>
    </w:lvl>
    <w:lvl w:ilvl="4" w:tentative="0">
      <w:start w:val="0"/>
      <w:numFmt w:val="bullet"/>
      <w:lvlText w:val="•"/>
      <w:lvlJc w:val="left"/>
      <w:pPr>
        <w:ind w:left="4566" w:hanging="363"/>
      </w:pPr>
      <w:rPr>
        <w:rFonts w:hint="default"/>
      </w:rPr>
    </w:lvl>
    <w:lvl w:ilvl="5" w:tentative="0">
      <w:start w:val="0"/>
      <w:numFmt w:val="bullet"/>
      <w:lvlText w:val="•"/>
      <w:lvlJc w:val="left"/>
      <w:pPr>
        <w:ind w:left="5443" w:hanging="363"/>
      </w:pPr>
      <w:rPr>
        <w:rFonts w:hint="default"/>
      </w:rPr>
    </w:lvl>
    <w:lvl w:ilvl="6" w:tentative="0">
      <w:start w:val="0"/>
      <w:numFmt w:val="bullet"/>
      <w:lvlText w:val="•"/>
      <w:lvlJc w:val="left"/>
      <w:pPr>
        <w:ind w:left="6319" w:hanging="363"/>
      </w:pPr>
      <w:rPr>
        <w:rFonts w:hint="default"/>
      </w:rPr>
    </w:lvl>
    <w:lvl w:ilvl="7" w:tentative="0">
      <w:start w:val="0"/>
      <w:numFmt w:val="bullet"/>
      <w:lvlText w:val="•"/>
      <w:lvlJc w:val="left"/>
      <w:pPr>
        <w:ind w:left="7196" w:hanging="363"/>
      </w:pPr>
      <w:rPr>
        <w:rFonts w:hint="default"/>
      </w:rPr>
    </w:lvl>
    <w:lvl w:ilvl="8" w:tentative="0">
      <w:start w:val="0"/>
      <w:numFmt w:val="bullet"/>
      <w:lvlText w:val="•"/>
      <w:lvlJc w:val="left"/>
      <w:pPr>
        <w:ind w:left="8072" w:hanging="363"/>
      </w:pPr>
      <w:rPr>
        <w:rFonts w:hint="default"/>
      </w:rPr>
    </w:lvl>
  </w:abstractNum>
  <w:abstractNum w:abstractNumId="66">
    <w:nsid w:val="4D94DA66"/>
    <w:multiLevelType w:val="multilevel"/>
    <w:tmpl w:val="4D94DA66"/>
    <w:lvl w:ilvl="0" w:tentative="0">
      <w:start w:val="12"/>
      <w:numFmt w:val="decimal"/>
      <w:lvlText w:val="%1"/>
      <w:lvlJc w:val="left"/>
      <w:pPr>
        <w:ind w:left="1184" w:hanging="485"/>
        <w:jc w:val="left"/>
      </w:pPr>
      <w:rPr>
        <w:rFonts w:hint="default"/>
      </w:rPr>
    </w:lvl>
    <w:lvl w:ilvl="1" w:tentative="0">
      <w:start w:val="1"/>
      <w:numFmt w:val="decimal"/>
      <w:lvlText w:val="%1.%2"/>
      <w:lvlJc w:val="left"/>
      <w:pPr>
        <w:ind w:left="1184" w:hanging="485"/>
        <w:jc w:val="left"/>
      </w:pPr>
      <w:rPr>
        <w:rFonts w:hint="default" w:ascii="Calibri" w:hAnsi="Calibri" w:eastAsia="Calibri" w:cs="Calibri"/>
        <w:spacing w:val="-1"/>
        <w:w w:val="100"/>
        <w:sz w:val="24"/>
        <w:szCs w:val="24"/>
      </w:rPr>
    </w:lvl>
    <w:lvl w:ilvl="2" w:tentative="0">
      <w:start w:val="0"/>
      <w:numFmt w:val="bullet"/>
      <w:lvlText w:val="•"/>
      <w:lvlJc w:val="left"/>
      <w:pPr>
        <w:ind w:left="2909" w:hanging="485"/>
      </w:pPr>
      <w:rPr>
        <w:rFonts w:hint="default"/>
      </w:rPr>
    </w:lvl>
    <w:lvl w:ilvl="3" w:tentative="0">
      <w:start w:val="0"/>
      <w:numFmt w:val="bullet"/>
      <w:lvlText w:val="•"/>
      <w:lvlJc w:val="left"/>
      <w:pPr>
        <w:ind w:left="3773" w:hanging="485"/>
      </w:pPr>
      <w:rPr>
        <w:rFonts w:hint="default"/>
      </w:rPr>
    </w:lvl>
    <w:lvl w:ilvl="4" w:tentative="0">
      <w:start w:val="0"/>
      <w:numFmt w:val="bullet"/>
      <w:lvlText w:val="•"/>
      <w:lvlJc w:val="left"/>
      <w:pPr>
        <w:ind w:left="4638" w:hanging="485"/>
      </w:pPr>
      <w:rPr>
        <w:rFonts w:hint="default"/>
      </w:rPr>
    </w:lvl>
    <w:lvl w:ilvl="5" w:tentative="0">
      <w:start w:val="0"/>
      <w:numFmt w:val="bullet"/>
      <w:lvlText w:val="•"/>
      <w:lvlJc w:val="left"/>
      <w:pPr>
        <w:ind w:left="5503" w:hanging="485"/>
      </w:pPr>
      <w:rPr>
        <w:rFonts w:hint="default"/>
      </w:rPr>
    </w:lvl>
    <w:lvl w:ilvl="6" w:tentative="0">
      <w:start w:val="0"/>
      <w:numFmt w:val="bullet"/>
      <w:lvlText w:val="•"/>
      <w:lvlJc w:val="left"/>
      <w:pPr>
        <w:ind w:left="6367" w:hanging="485"/>
      </w:pPr>
      <w:rPr>
        <w:rFonts w:hint="default"/>
      </w:rPr>
    </w:lvl>
    <w:lvl w:ilvl="7" w:tentative="0">
      <w:start w:val="0"/>
      <w:numFmt w:val="bullet"/>
      <w:lvlText w:val="•"/>
      <w:lvlJc w:val="left"/>
      <w:pPr>
        <w:ind w:left="7232" w:hanging="485"/>
      </w:pPr>
      <w:rPr>
        <w:rFonts w:hint="default"/>
      </w:rPr>
    </w:lvl>
    <w:lvl w:ilvl="8" w:tentative="0">
      <w:start w:val="0"/>
      <w:numFmt w:val="bullet"/>
      <w:lvlText w:val="•"/>
      <w:lvlJc w:val="left"/>
      <w:pPr>
        <w:ind w:left="8096" w:hanging="485"/>
      </w:pPr>
      <w:rPr>
        <w:rFonts w:hint="default"/>
      </w:rPr>
    </w:lvl>
  </w:abstractNum>
  <w:abstractNum w:abstractNumId="67">
    <w:nsid w:val="4FB438A5"/>
    <w:multiLevelType w:val="multilevel"/>
    <w:tmpl w:val="4FB438A5"/>
    <w:lvl w:ilvl="0" w:tentative="0">
      <w:start w:val="1"/>
      <w:numFmt w:val="decimal"/>
      <w:lvlText w:val="%1"/>
      <w:lvlJc w:val="left"/>
      <w:pPr>
        <w:ind w:left="1062" w:hanging="363"/>
        <w:jc w:val="left"/>
      </w:pPr>
      <w:rPr>
        <w:rFonts w:hint="default"/>
      </w:rPr>
    </w:lvl>
    <w:lvl w:ilvl="1" w:tentative="0">
      <w:start w:val="1"/>
      <w:numFmt w:val="decimal"/>
      <w:lvlText w:val="%1.%2"/>
      <w:lvlJc w:val="left"/>
      <w:pPr>
        <w:ind w:left="1062" w:hanging="363"/>
        <w:jc w:val="left"/>
      </w:pPr>
      <w:rPr>
        <w:rFonts w:hint="default" w:ascii="Calibri" w:hAnsi="Calibri" w:eastAsia="Calibri" w:cs="Calibri"/>
        <w:spacing w:val="-1"/>
        <w:w w:val="100"/>
        <w:sz w:val="24"/>
        <w:szCs w:val="24"/>
      </w:rPr>
    </w:lvl>
    <w:lvl w:ilvl="2" w:tentative="0">
      <w:start w:val="0"/>
      <w:numFmt w:val="bullet"/>
      <w:lvlText w:val="•"/>
      <w:lvlJc w:val="left"/>
      <w:pPr>
        <w:ind w:left="2813" w:hanging="363"/>
      </w:pPr>
      <w:rPr>
        <w:rFonts w:hint="default"/>
      </w:rPr>
    </w:lvl>
    <w:lvl w:ilvl="3" w:tentative="0">
      <w:start w:val="0"/>
      <w:numFmt w:val="bullet"/>
      <w:lvlText w:val="•"/>
      <w:lvlJc w:val="left"/>
      <w:pPr>
        <w:ind w:left="3689" w:hanging="363"/>
      </w:pPr>
      <w:rPr>
        <w:rFonts w:hint="default"/>
      </w:rPr>
    </w:lvl>
    <w:lvl w:ilvl="4" w:tentative="0">
      <w:start w:val="0"/>
      <w:numFmt w:val="bullet"/>
      <w:lvlText w:val="•"/>
      <w:lvlJc w:val="left"/>
      <w:pPr>
        <w:ind w:left="4566" w:hanging="363"/>
      </w:pPr>
      <w:rPr>
        <w:rFonts w:hint="default"/>
      </w:rPr>
    </w:lvl>
    <w:lvl w:ilvl="5" w:tentative="0">
      <w:start w:val="0"/>
      <w:numFmt w:val="bullet"/>
      <w:lvlText w:val="•"/>
      <w:lvlJc w:val="left"/>
      <w:pPr>
        <w:ind w:left="5443" w:hanging="363"/>
      </w:pPr>
      <w:rPr>
        <w:rFonts w:hint="default"/>
      </w:rPr>
    </w:lvl>
    <w:lvl w:ilvl="6" w:tentative="0">
      <w:start w:val="0"/>
      <w:numFmt w:val="bullet"/>
      <w:lvlText w:val="•"/>
      <w:lvlJc w:val="left"/>
      <w:pPr>
        <w:ind w:left="6319" w:hanging="363"/>
      </w:pPr>
      <w:rPr>
        <w:rFonts w:hint="default"/>
      </w:rPr>
    </w:lvl>
    <w:lvl w:ilvl="7" w:tentative="0">
      <w:start w:val="0"/>
      <w:numFmt w:val="bullet"/>
      <w:lvlText w:val="•"/>
      <w:lvlJc w:val="left"/>
      <w:pPr>
        <w:ind w:left="7196" w:hanging="363"/>
      </w:pPr>
      <w:rPr>
        <w:rFonts w:hint="default"/>
      </w:rPr>
    </w:lvl>
    <w:lvl w:ilvl="8" w:tentative="0">
      <w:start w:val="0"/>
      <w:numFmt w:val="bullet"/>
      <w:lvlText w:val="•"/>
      <w:lvlJc w:val="left"/>
      <w:pPr>
        <w:ind w:left="8072" w:hanging="363"/>
      </w:pPr>
      <w:rPr>
        <w:rFonts w:hint="default"/>
      </w:rPr>
    </w:lvl>
  </w:abstractNum>
  <w:abstractNum w:abstractNumId="68">
    <w:nsid w:val="58765686"/>
    <w:multiLevelType w:val="multilevel"/>
    <w:tmpl w:val="58765686"/>
    <w:lvl w:ilvl="0" w:tentative="0">
      <w:start w:val="1"/>
      <w:numFmt w:val="decimal"/>
      <w:lvlText w:val="（%1）"/>
      <w:lvlJc w:val="left"/>
      <w:pPr>
        <w:ind w:left="220" w:hanging="604"/>
        <w:jc w:val="left"/>
      </w:pPr>
      <w:rPr>
        <w:rFonts w:hint="default" w:ascii="宋体" w:hAnsi="宋体" w:eastAsia="宋体" w:cs="宋体"/>
        <w:w w:val="100"/>
        <w:sz w:val="22"/>
        <w:szCs w:val="22"/>
      </w:rPr>
    </w:lvl>
    <w:lvl w:ilvl="1" w:tentative="0">
      <w:start w:val="0"/>
      <w:numFmt w:val="bullet"/>
      <w:lvlText w:val="•"/>
      <w:lvlJc w:val="left"/>
      <w:pPr>
        <w:ind w:left="1180" w:hanging="604"/>
      </w:pPr>
      <w:rPr>
        <w:rFonts w:hint="default"/>
      </w:rPr>
    </w:lvl>
    <w:lvl w:ilvl="2" w:tentative="0">
      <w:start w:val="0"/>
      <w:numFmt w:val="bullet"/>
      <w:lvlText w:val="•"/>
      <w:lvlJc w:val="left"/>
      <w:pPr>
        <w:ind w:left="2141" w:hanging="604"/>
      </w:pPr>
      <w:rPr>
        <w:rFonts w:hint="default"/>
      </w:rPr>
    </w:lvl>
    <w:lvl w:ilvl="3" w:tentative="0">
      <w:start w:val="0"/>
      <w:numFmt w:val="bullet"/>
      <w:lvlText w:val="•"/>
      <w:lvlJc w:val="left"/>
      <w:pPr>
        <w:ind w:left="3101" w:hanging="604"/>
      </w:pPr>
      <w:rPr>
        <w:rFonts w:hint="default"/>
      </w:rPr>
    </w:lvl>
    <w:lvl w:ilvl="4" w:tentative="0">
      <w:start w:val="0"/>
      <w:numFmt w:val="bullet"/>
      <w:lvlText w:val="•"/>
      <w:lvlJc w:val="left"/>
      <w:pPr>
        <w:ind w:left="4062" w:hanging="604"/>
      </w:pPr>
      <w:rPr>
        <w:rFonts w:hint="default"/>
      </w:rPr>
    </w:lvl>
    <w:lvl w:ilvl="5" w:tentative="0">
      <w:start w:val="0"/>
      <w:numFmt w:val="bullet"/>
      <w:lvlText w:val="•"/>
      <w:lvlJc w:val="left"/>
      <w:pPr>
        <w:ind w:left="5023" w:hanging="604"/>
      </w:pPr>
      <w:rPr>
        <w:rFonts w:hint="default"/>
      </w:rPr>
    </w:lvl>
    <w:lvl w:ilvl="6" w:tentative="0">
      <w:start w:val="0"/>
      <w:numFmt w:val="bullet"/>
      <w:lvlText w:val="•"/>
      <w:lvlJc w:val="left"/>
      <w:pPr>
        <w:ind w:left="5983" w:hanging="604"/>
      </w:pPr>
      <w:rPr>
        <w:rFonts w:hint="default"/>
      </w:rPr>
    </w:lvl>
    <w:lvl w:ilvl="7" w:tentative="0">
      <w:start w:val="0"/>
      <w:numFmt w:val="bullet"/>
      <w:lvlText w:val="•"/>
      <w:lvlJc w:val="left"/>
      <w:pPr>
        <w:ind w:left="6944" w:hanging="604"/>
      </w:pPr>
      <w:rPr>
        <w:rFonts w:hint="default"/>
      </w:rPr>
    </w:lvl>
    <w:lvl w:ilvl="8" w:tentative="0">
      <w:start w:val="0"/>
      <w:numFmt w:val="bullet"/>
      <w:lvlText w:val="•"/>
      <w:lvlJc w:val="left"/>
      <w:pPr>
        <w:ind w:left="7904" w:hanging="604"/>
      </w:pPr>
      <w:rPr>
        <w:rFonts w:hint="default"/>
      </w:rPr>
    </w:lvl>
  </w:abstractNum>
  <w:abstractNum w:abstractNumId="69">
    <w:nsid w:val="59ADCABA"/>
    <w:multiLevelType w:val="multilevel"/>
    <w:tmpl w:val="59ADCABA"/>
    <w:lvl w:ilvl="0" w:tentative="0">
      <w:start w:val="8"/>
      <w:numFmt w:val="decimal"/>
      <w:lvlText w:val="%1"/>
      <w:lvlJc w:val="left"/>
      <w:pPr>
        <w:ind w:left="1120" w:hanging="420"/>
        <w:jc w:val="left"/>
      </w:pPr>
      <w:rPr>
        <w:rFonts w:hint="default"/>
      </w:rPr>
    </w:lvl>
    <w:lvl w:ilvl="1" w:tentative="0">
      <w:start w:val="1"/>
      <w:numFmt w:val="decimal"/>
      <w:lvlText w:val="%1.%2"/>
      <w:lvlJc w:val="left"/>
      <w:pPr>
        <w:ind w:left="1120" w:hanging="420"/>
        <w:jc w:val="left"/>
      </w:pPr>
      <w:rPr>
        <w:rFonts w:hint="default" w:ascii="宋体" w:hAnsi="宋体" w:eastAsia="宋体" w:cs="宋体"/>
        <w:w w:val="100"/>
        <w:sz w:val="24"/>
        <w:szCs w:val="24"/>
      </w:rPr>
    </w:lvl>
    <w:lvl w:ilvl="2" w:tentative="0">
      <w:start w:val="0"/>
      <w:numFmt w:val="bullet"/>
      <w:lvlText w:val="•"/>
      <w:lvlJc w:val="left"/>
      <w:pPr>
        <w:ind w:left="2861" w:hanging="420"/>
      </w:pPr>
      <w:rPr>
        <w:rFonts w:hint="default"/>
      </w:rPr>
    </w:lvl>
    <w:lvl w:ilvl="3" w:tentative="0">
      <w:start w:val="0"/>
      <w:numFmt w:val="bullet"/>
      <w:lvlText w:val="•"/>
      <w:lvlJc w:val="left"/>
      <w:pPr>
        <w:ind w:left="3731" w:hanging="420"/>
      </w:pPr>
      <w:rPr>
        <w:rFonts w:hint="default"/>
      </w:rPr>
    </w:lvl>
    <w:lvl w:ilvl="4" w:tentative="0">
      <w:start w:val="0"/>
      <w:numFmt w:val="bullet"/>
      <w:lvlText w:val="•"/>
      <w:lvlJc w:val="left"/>
      <w:pPr>
        <w:ind w:left="4602" w:hanging="420"/>
      </w:pPr>
      <w:rPr>
        <w:rFonts w:hint="default"/>
      </w:rPr>
    </w:lvl>
    <w:lvl w:ilvl="5" w:tentative="0">
      <w:start w:val="0"/>
      <w:numFmt w:val="bullet"/>
      <w:lvlText w:val="•"/>
      <w:lvlJc w:val="left"/>
      <w:pPr>
        <w:ind w:left="5473" w:hanging="420"/>
      </w:pPr>
      <w:rPr>
        <w:rFonts w:hint="default"/>
      </w:rPr>
    </w:lvl>
    <w:lvl w:ilvl="6" w:tentative="0">
      <w:start w:val="0"/>
      <w:numFmt w:val="bullet"/>
      <w:lvlText w:val="•"/>
      <w:lvlJc w:val="left"/>
      <w:pPr>
        <w:ind w:left="6343" w:hanging="420"/>
      </w:pPr>
      <w:rPr>
        <w:rFonts w:hint="default"/>
      </w:rPr>
    </w:lvl>
    <w:lvl w:ilvl="7" w:tentative="0">
      <w:start w:val="0"/>
      <w:numFmt w:val="bullet"/>
      <w:lvlText w:val="•"/>
      <w:lvlJc w:val="left"/>
      <w:pPr>
        <w:ind w:left="7214" w:hanging="420"/>
      </w:pPr>
      <w:rPr>
        <w:rFonts w:hint="default"/>
      </w:rPr>
    </w:lvl>
    <w:lvl w:ilvl="8" w:tentative="0">
      <w:start w:val="0"/>
      <w:numFmt w:val="bullet"/>
      <w:lvlText w:val="•"/>
      <w:lvlJc w:val="left"/>
      <w:pPr>
        <w:ind w:left="8084" w:hanging="420"/>
      </w:pPr>
      <w:rPr>
        <w:rFonts w:hint="default"/>
      </w:rPr>
    </w:lvl>
  </w:abstractNum>
  <w:abstractNum w:abstractNumId="70">
    <w:nsid w:val="5A241D34"/>
    <w:multiLevelType w:val="multilevel"/>
    <w:tmpl w:val="5A241D34"/>
    <w:lvl w:ilvl="0" w:tentative="0">
      <w:start w:val="1"/>
      <w:numFmt w:val="decimal"/>
      <w:lvlText w:val="（%1）"/>
      <w:lvlJc w:val="left"/>
      <w:pPr>
        <w:ind w:left="1301" w:hanging="601"/>
        <w:jc w:val="left"/>
      </w:pPr>
      <w:rPr>
        <w:rFonts w:hint="default" w:ascii="宋体" w:hAnsi="宋体" w:eastAsia="宋体" w:cs="宋体"/>
        <w:spacing w:val="-2"/>
        <w:w w:val="100"/>
        <w:sz w:val="22"/>
        <w:szCs w:val="22"/>
      </w:rPr>
    </w:lvl>
    <w:lvl w:ilvl="1" w:tentative="0">
      <w:start w:val="0"/>
      <w:numFmt w:val="bullet"/>
      <w:lvlText w:val="•"/>
      <w:lvlJc w:val="left"/>
      <w:pPr>
        <w:ind w:left="2152" w:hanging="601"/>
      </w:pPr>
      <w:rPr>
        <w:rFonts w:hint="default"/>
      </w:rPr>
    </w:lvl>
    <w:lvl w:ilvl="2" w:tentative="0">
      <w:start w:val="0"/>
      <w:numFmt w:val="bullet"/>
      <w:lvlText w:val="•"/>
      <w:lvlJc w:val="left"/>
      <w:pPr>
        <w:ind w:left="3005" w:hanging="601"/>
      </w:pPr>
      <w:rPr>
        <w:rFonts w:hint="default"/>
      </w:rPr>
    </w:lvl>
    <w:lvl w:ilvl="3" w:tentative="0">
      <w:start w:val="0"/>
      <w:numFmt w:val="bullet"/>
      <w:lvlText w:val="•"/>
      <w:lvlJc w:val="left"/>
      <w:pPr>
        <w:ind w:left="3857" w:hanging="601"/>
      </w:pPr>
      <w:rPr>
        <w:rFonts w:hint="default"/>
      </w:rPr>
    </w:lvl>
    <w:lvl w:ilvl="4" w:tentative="0">
      <w:start w:val="0"/>
      <w:numFmt w:val="bullet"/>
      <w:lvlText w:val="•"/>
      <w:lvlJc w:val="left"/>
      <w:pPr>
        <w:ind w:left="4710" w:hanging="601"/>
      </w:pPr>
      <w:rPr>
        <w:rFonts w:hint="default"/>
      </w:rPr>
    </w:lvl>
    <w:lvl w:ilvl="5" w:tentative="0">
      <w:start w:val="0"/>
      <w:numFmt w:val="bullet"/>
      <w:lvlText w:val="•"/>
      <w:lvlJc w:val="left"/>
      <w:pPr>
        <w:ind w:left="5563" w:hanging="601"/>
      </w:pPr>
      <w:rPr>
        <w:rFonts w:hint="default"/>
      </w:rPr>
    </w:lvl>
    <w:lvl w:ilvl="6" w:tentative="0">
      <w:start w:val="0"/>
      <w:numFmt w:val="bullet"/>
      <w:lvlText w:val="•"/>
      <w:lvlJc w:val="left"/>
      <w:pPr>
        <w:ind w:left="6415" w:hanging="601"/>
      </w:pPr>
      <w:rPr>
        <w:rFonts w:hint="default"/>
      </w:rPr>
    </w:lvl>
    <w:lvl w:ilvl="7" w:tentative="0">
      <w:start w:val="0"/>
      <w:numFmt w:val="bullet"/>
      <w:lvlText w:val="•"/>
      <w:lvlJc w:val="left"/>
      <w:pPr>
        <w:ind w:left="7268" w:hanging="601"/>
      </w:pPr>
      <w:rPr>
        <w:rFonts w:hint="default"/>
      </w:rPr>
    </w:lvl>
    <w:lvl w:ilvl="8" w:tentative="0">
      <w:start w:val="0"/>
      <w:numFmt w:val="bullet"/>
      <w:lvlText w:val="•"/>
      <w:lvlJc w:val="left"/>
      <w:pPr>
        <w:ind w:left="8120" w:hanging="601"/>
      </w:pPr>
      <w:rPr>
        <w:rFonts w:hint="default"/>
      </w:rPr>
    </w:lvl>
  </w:abstractNum>
  <w:abstractNum w:abstractNumId="71">
    <w:nsid w:val="5E29AB5A"/>
    <w:multiLevelType w:val="multilevel"/>
    <w:tmpl w:val="5E29AB5A"/>
    <w:lvl w:ilvl="0" w:tentative="0">
      <w:start w:val="16"/>
      <w:numFmt w:val="decimal"/>
      <w:lvlText w:val="%1"/>
      <w:lvlJc w:val="left"/>
      <w:pPr>
        <w:ind w:left="220" w:hanging="485"/>
        <w:jc w:val="left"/>
      </w:pPr>
      <w:rPr>
        <w:rFonts w:hint="default"/>
      </w:rPr>
    </w:lvl>
    <w:lvl w:ilvl="1" w:tentative="0">
      <w:start w:val="1"/>
      <w:numFmt w:val="decimal"/>
      <w:lvlText w:val="%1.%2"/>
      <w:lvlJc w:val="left"/>
      <w:pPr>
        <w:ind w:left="220" w:hanging="485"/>
        <w:jc w:val="left"/>
      </w:pPr>
      <w:rPr>
        <w:rFonts w:hint="default" w:ascii="Calibri" w:hAnsi="Calibri" w:eastAsia="Calibri" w:cs="Calibri"/>
        <w:spacing w:val="-1"/>
        <w:w w:val="100"/>
        <w:sz w:val="24"/>
        <w:szCs w:val="24"/>
      </w:rPr>
    </w:lvl>
    <w:lvl w:ilvl="2" w:tentative="0">
      <w:start w:val="0"/>
      <w:numFmt w:val="bullet"/>
      <w:lvlText w:val="•"/>
      <w:lvlJc w:val="left"/>
      <w:pPr>
        <w:ind w:left="2141" w:hanging="485"/>
      </w:pPr>
      <w:rPr>
        <w:rFonts w:hint="default"/>
      </w:rPr>
    </w:lvl>
    <w:lvl w:ilvl="3" w:tentative="0">
      <w:start w:val="0"/>
      <w:numFmt w:val="bullet"/>
      <w:lvlText w:val="•"/>
      <w:lvlJc w:val="left"/>
      <w:pPr>
        <w:ind w:left="3101" w:hanging="485"/>
      </w:pPr>
      <w:rPr>
        <w:rFonts w:hint="default"/>
      </w:rPr>
    </w:lvl>
    <w:lvl w:ilvl="4" w:tentative="0">
      <w:start w:val="0"/>
      <w:numFmt w:val="bullet"/>
      <w:lvlText w:val="•"/>
      <w:lvlJc w:val="left"/>
      <w:pPr>
        <w:ind w:left="4062" w:hanging="485"/>
      </w:pPr>
      <w:rPr>
        <w:rFonts w:hint="default"/>
      </w:rPr>
    </w:lvl>
    <w:lvl w:ilvl="5" w:tentative="0">
      <w:start w:val="0"/>
      <w:numFmt w:val="bullet"/>
      <w:lvlText w:val="•"/>
      <w:lvlJc w:val="left"/>
      <w:pPr>
        <w:ind w:left="5023" w:hanging="485"/>
      </w:pPr>
      <w:rPr>
        <w:rFonts w:hint="default"/>
      </w:rPr>
    </w:lvl>
    <w:lvl w:ilvl="6" w:tentative="0">
      <w:start w:val="0"/>
      <w:numFmt w:val="bullet"/>
      <w:lvlText w:val="•"/>
      <w:lvlJc w:val="left"/>
      <w:pPr>
        <w:ind w:left="5983" w:hanging="485"/>
      </w:pPr>
      <w:rPr>
        <w:rFonts w:hint="default"/>
      </w:rPr>
    </w:lvl>
    <w:lvl w:ilvl="7" w:tentative="0">
      <w:start w:val="0"/>
      <w:numFmt w:val="bullet"/>
      <w:lvlText w:val="•"/>
      <w:lvlJc w:val="left"/>
      <w:pPr>
        <w:ind w:left="6944" w:hanging="485"/>
      </w:pPr>
      <w:rPr>
        <w:rFonts w:hint="default"/>
      </w:rPr>
    </w:lvl>
    <w:lvl w:ilvl="8" w:tentative="0">
      <w:start w:val="0"/>
      <w:numFmt w:val="bullet"/>
      <w:lvlText w:val="•"/>
      <w:lvlJc w:val="left"/>
      <w:pPr>
        <w:ind w:left="7904" w:hanging="485"/>
      </w:pPr>
      <w:rPr>
        <w:rFonts w:hint="default"/>
      </w:rPr>
    </w:lvl>
  </w:abstractNum>
  <w:abstractNum w:abstractNumId="72">
    <w:nsid w:val="5FFFB1A7"/>
    <w:multiLevelType w:val="multilevel"/>
    <w:tmpl w:val="5FFFB1A7"/>
    <w:lvl w:ilvl="0" w:tentative="0">
      <w:start w:val="18"/>
      <w:numFmt w:val="decimal"/>
      <w:lvlText w:val="%1"/>
      <w:lvlJc w:val="left"/>
      <w:pPr>
        <w:ind w:left="1184" w:hanging="485"/>
        <w:jc w:val="left"/>
      </w:pPr>
      <w:rPr>
        <w:rFonts w:hint="default"/>
      </w:rPr>
    </w:lvl>
    <w:lvl w:ilvl="1" w:tentative="0">
      <w:start w:val="1"/>
      <w:numFmt w:val="decimal"/>
      <w:lvlText w:val="%1.%2"/>
      <w:lvlJc w:val="left"/>
      <w:pPr>
        <w:ind w:left="1184" w:hanging="485"/>
        <w:jc w:val="left"/>
      </w:pPr>
      <w:rPr>
        <w:rFonts w:hint="default" w:ascii="Calibri" w:hAnsi="Calibri" w:eastAsia="Calibri" w:cs="Calibri"/>
        <w:spacing w:val="-1"/>
        <w:w w:val="100"/>
        <w:sz w:val="24"/>
        <w:szCs w:val="24"/>
      </w:rPr>
    </w:lvl>
    <w:lvl w:ilvl="2" w:tentative="0">
      <w:start w:val="0"/>
      <w:numFmt w:val="bullet"/>
      <w:lvlText w:val="•"/>
      <w:lvlJc w:val="left"/>
      <w:pPr>
        <w:ind w:left="2909" w:hanging="485"/>
      </w:pPr>
      <w:rPr>
        <w:rFonts w:hint="default"/>
      </w:rPr>
    </w:lvl>
    <w:lvl w:ilvl="3" w:tentative="0">
      <w:start w:val="0"/>
      <w:numFmt w:val="bullet"/>
      <w:lvlText w:val="•"/>
      <w:lvlJc w:val="left"/>
      <w:pPr>
        <w:ind w:left="3773" w:hanging="485"/>
      </w:pPr>
      <w:rPr>
        <w:rFonts w:hint="default"/>
      </w:rPr>
    </w:lvl>
    <w:lvl w:ilvl="4" w:tentative="0">
      <w:start w:val="0"/>
      <w:numFmt w:val="bullet"/>
      <w:lvlText w:val="•"/>
      <w:lvlJc w:val="left"/>
      <w:pPr>
        <w:ind w:left="4638" w:hanging="485"/>
      </w:pPr>
      <w:rPr>
        <w:rFonts w:hint="default"/>
      </w:rPr>
    </w:lvl>
    <w:lvl w:ilvl="5" w:tentative="0">
      <w:start w:val="0"/>
      <w:numFmt w:val="bullet"/>
      <w:lvlText w:val="•"/>
      <w:lvlJc w:val="left"/>
      <w:pPr>
        <w:ind w:left="5503" w:hanging="485"/>
      </w:pPr>
      <w:rPr>
        <w:rFonts w:hint="default"/>
      </w:rPr>
    </w:lvl>
    <w:lvl w:ilvl="6" w:tentative="0">
      <w:start w:val="0"/>
      <w:numFmt w:val="bullet"/>
      <w:lvlText w:val="•"/>
      <w:lvlJc w:val="left"/>
      <w:pPr>
        <w:ind w:left="6367" w:hanging="485"/>
      </w:pPr>
      <w:rPr>
        <w:rFonts w:hint="default"/>
      </w:rPr>
    </w:lvl>
    <w:lvl w:ilvl="7" w:tentative="0">
      <w:start w:val="0"/>
      <w:numFmt w:val="bullet"/>
      <w:lvlText w:val="•"/>
      <w:lvlJc w:val="left"/>
      <w:pPr>
        <w:ind w:left="7232" w:hanging="485"/>
      </w:pPr>
      <w:rPr>
        <w:rFonts w:hint="default"/>
      </w:rPr>
    </w:lvl>
    <w:lvl w:ilvl="8" w:tentative="0">
      <w:start w:val="0"/>
      <w:numFmt w:val="bullet"/>
      <w:lvlText w:val="•"/>
      <w:lvlJc w:val="left"/>
      <w:pPr>
        <w:ind w:left="8096" w:hanging="485"/>
      </w:pPr>
      <w:rPr>
        <w:rFonts w:hint="default"/>
      </w:rPr>
    </w:lvl>
  </w:abstractNum>
  <w:abstractNum w:abstractNumId="73">
    <w:nsid w:val="60382F6E"/>
    <w:multiLevelType w:val="multilevel"/>
    <w:tmpl w:val="60382F6E"/>
    <w:lvl w:ilvl="0" w:tentative="0">
      <w:start w:val="1"/>
      <w:numFmt w:val="decimal"/>
      <w:lvlText w:val="（%1）"/>
      <w:lvlJc w:val="left"/>
      <w:pPr>
        <w:ind w:left="1301" w:hanging="601"/>
        <w:jc w:val="left"/>
      </w:pPr>
      <w:rPr>
        <w:rFonts w:hint="default" w:ascii="宋体" w:hAnsi="宋体" w:eastAsia="宋体" w:cs="宋体"/>
        <w:spacing w:val="-2"/>
        <w:w w:val="100"/>
        <w:sz w:val="22"/>
        <w:szCs w:val="22"/>
      </w:rPr>
    </w:lvl>
    <w:lvl w:ilvl="1" w:tentative="0">
      <w:start w:val="0"/>
      <w:numFmt w:val="bullet"/>
      <w:lvlText w:val="•"/>
      <w:lvlJc w:val="left"/>
      <w:pPr>
        <w:ind w:left="2152" w:hanging="601"/>
      </w:pPr>
      <w:rPr>
        <w:rFonts w:hint="default"/>
      </w:rPr>
    </w:lvl>
    <w:lvl w:ilvl="2" w:tentative="0">
      <w:start w:val="0"/>
      <w:numFmt w:val="bullet"/>
      <w:lvlText w:val="•"/>
      <w:lvlJc w:val="left"/>
      <w:pPr>
        <w:ind w:left="3005" w:hanging="601"/>
      </w:pPr>
      <w:rPr>
        <w:rFonts w:hint="default"/>
      </w:rPr>
    </w:lvl>
    <w:lvl w:ilvl="3" w:tentative="0">
      <w:start w:val="0"/>
      <w:numFmt w:val="bullet"/>
      <w:lvlText w:val="•"/>
      <w:lvlJc w:val="left"/>
      <w:pPr>
        <w:ind w:left="3857" w:hanging="601"/>
      </w:pPr>
      <w:rPr>
        <w:rFonts w:hint="default"/>
      </w:rPr>
    </w:lvl>
    <w:lvl w:ilvl="4" w:tentative="0">
      <w:start w:val="0"/>
      <w:numFmt w:val="bullet"/>
      <w:lvlText w:val="•"/>
      <w:lvlJc w:val="left"/>
      <w:pPr>
        <w:ind w:left="4710" w:hanging="601"/>
      </w:pPr>
      <w:rPr>
        <w:rFonts w:hint="default"/>
      </w:rPr>
    </w:lvl>
    <w:lvl w:ilvl="5" w:tentative="0">
      <w:start w:val="0"/>
      <w:numFmt w:val="bullet"/>
      <w:lvlText w:val="•"/>
      <w:lvlJc w:val="left"/>
      <w:pPr>
        <w:ind w:left="5563" w:hanging="601"/>
      </w:pPr>
      <w:rPr>
        <w:rFonts w:hint="default"/>
      </w:rPr>
    </w:lvl>
    <w:lvl w:ilvl="6" w:tentative="0">
      <w:start w:val="0"/>
      <w:numFmt w:val="bullet"/>
      <w:lvlText w:val="•"/>
      <w:lvlJc w:val="left"/>
      <w:pPr>
        <w:ind w:left="6415" w:hanging="601"/>
      </w:pPr>
      <w:rPr>
        <w:rFonts w:hint="default"/>
      </w:rPr>
    </w:lvl>
    <w:lvl w:ilvl="7" w:tentative="0">
      <w:start w:val="0"/>
      <w:numFmt w:val="bullet"/>
      <w:lvlText w:val="•"/>
      <w:lvlJc w:val="left"/>
      <w:pPr>
        <w:ind w:left="7268" w:hanging="601"/>
      </w:pPr>
      <w:rPr>
        <w:rFonts w:hint="default"/>
      </w:rPr>
    </w:lvl>
    <w:lvl w:ilvl="8" w:tentative="0">
      <w:start w:val="0"/>
      <w:numFmt w:val="bullet"/>
      <w:lvlText w:val="•"/>
      <w:lvlJc w:val="left"/>
      <w:pPr>
        <w:ind w:left="8120" w:hanging="601"/>
      </w:pPr>
      <w:rPr>
        <w:rFonts w:hint="default"/>
      </w:rPr>
    </w:lvl>
  </w:abstractNum>
  <w:abstractNum w:abstractNumId="74">
    <w:nsid w:val="629F7852"/>
    <w:multiLevelType w:val="multilevel"/>
    <w:tmpl w:val="629F7852"/>
    <w:lvl w:ilvl="0" w:tentative="0">
      <w:start w:val="1"/>
      <w:numFmt w:val="decimal"/>
      <w:lvlText w:val="（%1）"/>
      <w:lvlJc w:val="left"/>
      <w:pPr>
        <w:ind w:left="1301" w:hanging="601"/>
        <w:jc w:val="left"/>
      </w:pPr>
      <w:rPr>
        <w:rFonts w:hint="default" w:ascii="宋体" w:hAnsi="宋体" w:eastAsia="宋体" w:cs="宋体"/>
        <w:spacing w:val="-2"/>
        <w:w w:val="100"/>
        <w:sz w:val="22"/>
        <w:szCs w:val="22"/>
      </w:rPr>
    </w:lvl>
    <w:lvl w:ilvl="1" w:tentative="0">
      <w:start w:val="0"/>
      <w:numFmt w:val="bullet"/>
      <w:lvlText w:val="•"/>
      <w:lvlJc w:val="left"/>
      <w:pPr>
        <w:ind w:left="2152" w:hanging="601"/>
      </w:pPr>
      <w:rPr>
        <w:rFonts w:hint="default"/>
      </w:rPr>
    </w:lvl>
    <w:lvl w:ilvl="2" w:tentative="0">
      <w:start w:val="0"/>
      <w:numFmt w:val="bullet"/>
      <w:lvlText w:val="•"/>
      <w:lvlJc w:val="left"/>
      <w:pPr>
        <w:ind w:left="3005" w:hanging="601"/>
      </w:pPr>
      <w:rPr>
        <w:rFonts w:hint="default"/>
      </w:rPr>
    </w:lvl>
    <w:lvl w:ilvl="3" w:tentative="0">
      <w:start w:val="0"/>
      <w:numFmt w:val="bullet"/>
      <w:lvlText w:val="•"/>
      <w:lvlJc w:val="left"/>
      <w:pPr>
        <w:ind w:left="3857" w:hanging="601"/>
      </w:pPr>
      <w:rPr>
        <w:rFonts w:hint="default"/>
      </w:rPr>
    </w:lvl>
    <w:lvl w:ilvl="4" w:tentative="0">
      <w:start w:val="0"/>
      <w:numFmt w:val="bullet"/>
      <w:lvlText w:val="•"/>
      <w:lvlJc w:val="left"/>
      <w:pPr>
        <w:ind w:left="4710" w:hanging="601"/>
      </w:pPr>
      <w:rPr>
        <w:rFonts w:hint="default"/>
      </w:rPr>
    </w:lvl>
    <w:lvl w:ilvl="5" w:tentative="0">
      <w:start w:val="0"/>
      <w:numFmt w:val="bullet"/>
      <w:lvlText w:val="•"/>
      <w:lvlJc w:val="left"/>
      <w:pPr>
        <w:ind w:left="5563" w:hanging="601"/>
      </w:pPr>
      <w:rPr>
        <w:rFonts w:hint="default"/>
      </w:rPr>
    </w:lvl>
    <w:lvl w:ilvl="6" w:tentative="0">
      <w:start w:val="0"/>
      <w:numFmt w:val="bullet"/>
      <w:lvlText w:val="•"/>
      <w:lvlJc w:val="left"/>
      <w:pPr>
        <w:ind w:left="6415" w:hanging="601"/>
      </w:pPr>
      <w:rPr>
        <w:rFonts w:hint="default"/>
      </w:rPr>
    </w:lvl>
    <w:lvl w:ilvl="7" w:tentative="0">
      <w:start w:val="0"/>
      <w:numFmt w:val="bullet"/>
      <w:lvlText w:val="•"/>
      <w:lvlJc w:val="left"/>
      <w:pPr>
        <w:ind w:left="7268" w:hanging="601"/>
      </w:pPr>
      <w:rPr>
        <w:rFonts w:hint="default"/>
      </w:rPr>
    </w:lvl>
    <w:lvl w:ilvl="8" w:tentative="0">
      <w:start w:val="0"/>
      <w:numFmt w:val="bullet"/>
      <w:lvlText w:val="•"/>
      <w:lvlJc w:val="left"/>
      <w:pPr>
        <w:ind w:left="8120" w:hanging="601"/>
      </w:pPr>
      <w:rPr>
        <w:rFonts w:hint="default"/>
      </w:rPr>
    </w:lvl>
  </w:abstractNum>
  <w:abstractNum w:abstractNumId="75">
    <w:nsid w:val="65CD0074"/>
    <w:multiLevelType w:val="multilevel"/>
    <w:tmpl w:val="65CD0074"/>
    <w:lvl w:ilvl="0" w:tentative="0">
      <w:start w:val="1"/>
      <w:numFmt w:val="decimal"/>
      <w:lvlText w:val="（%1）"/>
      <w:lvlJc w:val="left"/>
      <w:pPr>
        <w:ind w:left="220" w:hanging="601"/>
        <w:jc w:val="left"/>
      </w:pPr>
      <w:rPr>
        <w:rFonts w:hint="default" w:ascii="宋体" w:hAnsi="宋体" w:eastAsia="宋体" w:cs="宋体"/>
        <w:spacing w:val="-32"/>
        <w:w w:val="100"/>
        <w:sz w:val="22"/>
        <w:szCs w:val="22"/>
      </w:rPr>
    </w:lvl>
    <w:lvl w:ilvl="1" w:tentative="0">
      <w:start w:val="0"/>
      <w:numFmt w:val="bullet"/>
      <w:lvlText w:val="•"/>
      <w:lvlJc w:val="left"/>
      <w:pPr>
        <w:ind w:left="1180" w:hanging="601"/>
      </w:pPr>
      <w:rPr>
        <w:rFonts w:hint="default"/>
      </w:rPr>
    </w:lvl>
    <w:lvl w:ilvl="2" w:tentative="0">
      <w:start w:val="0"/>
      <w:numFmt w:val="bullet"/>
      <w:lvlText w:val="•"/>
      <w:lvlJc w:val="left"/>
      <w:pPr>
        <w:ind w:left="2141" w:hanging="601"/>
      </w:pPr>
      <w:rPr>
        <w:rFonts w:hint="default"/>
      </w:rPr>
    </w:lvl>
    <w:lvl w:ilvl="3" w:tentative="0">
      <w:start w:val="0"/>
      <w:numFmt w:val="bullet"/>
      <w:lvlText w:val="•"/>
      <w:lvlJc w:val="left"/>
      <w:pPr>
        <w:ind w:left="3101" w:hanging="601"/>
      </w:pPr>
      <w:rPr>
        <w:rFonts w:hint="default"/>
      </w:rPr>
    </w:lvl>
    <w:lvl w:ilvl="4" w:tentative="0">
      <w:start w:val="0"/>
      <w:numFmt w:val="bullet"/>
      <w:lvlText w:val="•"/>
      <w:lvlJc w:val="left"/>
      <w:pPr>
        <w:ind w:left="4062" w:hanging="601"/>
      </w:pPr>
      <w:rPr>
        <w:rFonts w:hint="default"/>
      </w:rPr>
    </w:lvl>
    <w:lvl w:ilvl="5" w:tentative="0">
      <w:start w:val="0"/>
      <w:numFmt w:val="bullet"/>
      <w:lvlText w:val="•"/>
      <w:lvlJc w:val="left"/>
      <w:pPr>
        <w:ind w:left="5023" w:hanging="601"/>
      </w:pPr>
      <w:rPr>
        <w:rFonts w:hint="default"/>
      </w:rPr>
    </w:lvl>
    <w:lvl w:ilvl="6" w:tentative="0">
      <w:start w:val="0"/>
      <w:numFmt w:val="bullet"/>
      <w:lvlText w:val="•"/>
      <w:lvlJc w:val="left"/>
      <w:pPr>
        <w:ind w:left="5983" w:hanging="601"/>
      </w:pPr>
      <w:rPr>
        <w:rFonts w:hint="default"/>
      </w:rPr>
    </w:lvl>
    <w:lvl w:ilvl="7" w:tentative="0">
      <w:start w:val="0"/>
      <w:numFmt w:val="bullet"/>
      <w:lvlText w:val="•"/>
      <w:lvlJc w:val="left"/>
      <w:pPr>
        <w:ind w:left="6944" w:hanging="601"/>
      </w:pPr>
      <w:rPr>
        <w:rFonts w:hint="default"/>
      </w:rPr>
    </w:lvl>
    <w:lvl w:ilvl="8" w:tentative="0">
      <w:start w:val="0"/>
      <w:numFmt w:val="bullet"/>
      <w:lvlText w:val="•"/>
      <w:lvlJc w:val="left"/>
      <w:pPr>
        <w:ind w:left="7904" w:hanging="601"/>
      </w:pPr>
      <w:rPr>
        <w:rFonts w:hint="default"/>
      </w:rPr>
    </w:lvl>
  </w:abstractNum>
  <w:abstractNum w:abstractNumId="76">
    <w:nsid w:val="6D423078"/>
    <w:multiLevelType w:val="multilevel"/>
    <w:tmpl w:val="6D423078"/>
    <w:lvl w:ilvl="0" w:tentative="0">
      <w:start w:val="2"/>
      <w:numFmt w:val="decimal"/>
      <w:lvlText w:val="%1"/>
      <w:lvlJc w:val="left"/>
      <w:pPr>
        <w:ind w:left="220" w:hanging="365"/>
        <w:jc w:val="left"/>
      </w:pPr>
      <w:rPr>
        <w:rFonts w:hint="default"/>
      </w:rPr>
    </w:lvl>
    <w:lvl w:ilvl="1" w:tentative="0">
      <w:start w:val="1"/>
      <w:numFmt w:val="decimal"/>
      <w:lvlText w:val="%1.%2"/>
      <w:lvlJc w:val="left"/>
      <w:pPr>
        <w:ind w:left="220" w:hanging="365"/>
        <w:jc w:val="left"/>
      </w:pPr>
      <w:rPr>
        <w:rFonts w:hint="default" w:ascii="Calibri" w:hAnsi="Calibri" w:eastAsia="Calibri" w:cs="Calibri"/>
        <w:spacing w:val="-1"/>
        <w:w w:val="100"/>
        <w:sz w:val="24"/>
        <w:szCs w:val="24"/>
      </w:rPr>
    </w:lvl>
    <w:lvl w:ilvl="2" w:tentative="0">
      <w:start w:val="0"/>
      <w:numFmt w:val="bullet"/>
      <w:lvlText w:val="•"/>
      <w:lvlJc w:val="left"/>
      <w:pPr>
        <w:ind w:left="2141" w:hanging="365"/>
      </w:pPr>
      <w:rPr>
        <w:rFonts w:hint="default"/>
      </w:rPr>
    </w:lvl>
    <w:lvl w:ilvl="3" w:tentative="0">
      <w:start w:val="0"/>
      <w:numFmt w:val="bullet"/>
      <w:lvlText w:val="•"/>
      <w:lvlJc w:val="left"/>
      <w:pPr>
        <w:ind w:left="3101" w:hanging="365"/>
      </w:pPr>
      <w:rPr>
        <w:rFonts w:hint="default"/>
      </w:rPr>
    </w:lvl>
    <w:lvl w:ilvl="4" w:tentative="0">
      <w:start w:val="0"/>
      <w:numFmt w:val="bullet"/>
      <w:lvlText w:val="•"/>
      <w:lvlJc w:val="left"/>
      <w:pPr>
        <w:ind w:left="4062" w:hanging="365"/>
      </w:pPr>
      <w:rPr>
        <w:rFonts w:hint="default"/>
      </w:rPr>
    </w:lvl>
    <w:lvl w:ilvl="5" w:tentative="0">
      <w:start w:val="0"/>
      <w:numFmt w:val="bullet"/>
      <w:lvlText w:val="•"/>
      <w:lvlJc w:val="left"/>
      <w:pPr>
        <w:ind w:left="5023" w:hanging="365"/>
      </w:pPr>
      <w:rPr>
        <w:rFonts w:hint="default"/>
      </w:rPr>
    </w:lvl>
    <w:lvl w:ilvl="6" w:tentative="0">
      <w:start w:val="0"/>
      <w:numFmt w:val="bullet"/>
      <w:lvlText w:val="•"/>
      <w:lvlJc w:val="left"/>
      <w:pPr>
        <w:ind w:left="5983" w:hanging="365"/>
      </w:pPr>
      <w:rPr>
        <w:rFonts w:hint="default"/>
      </w:rPr>
    </w:lvl>
    <w:lvl w:ilvl="7" w:tentative="0">
      <w:start w:val="0"/>
      <w:numFmt w:val="bullet"/>
      <w:lvlText w:val="•"/>
      <w:lvlJc w:val="left"/>
      <w:pPr>
        <w:ind w:left="6944" w:hanging="365"/>
      </w:pPr>
      <w:rPr>
        <w:rFonts w:hint="default"/>
      </w:rPr>
    </w:lvl>
    <w:lvl w:ilvl="8" w:tentative="0">
      <w:start w:val="0"/>
      <w:numFmt w:val="bullet"/>
      <w:lvlText w:val="•"/>
      <w:lvlJc w:val="left"/>
      <w:pPr>
        <w:ind w:left="7904" w:hanging="365"/>
      </w:pPr>
      <w:rPr>
        <w:rFonts w:hint="default"/>
      </w:rPr>
    </w:lvl>
  </w:abstractNum>
  <w:abstractNum w:abstractNumId="77">
    <w:nsid w:val="72183CF9"/>
    <w:multiLevelType w:val="multilevel"/>
    <w:tmpl w:val="72183CF9"/>
    <w:lvl w:ilvl="0" w:tentative="0">
      <w:start w:val="1"/>
      <w:numFmt w:val="decimal"/>
      <w:lvlText w:val="（%1）"/>
      <w:lvlJc w:val="left"/>
      <w:pPr>
        <w:ind w:left="106" w:hanging="615"/>
        <w:jc w:val="left"/>
      </w:pPr>
      <w:rPr>
        <w:rFonts w:hint="default" w:ascii="宋体" w:hAnsi="宋体" w:eastAsia="宋体" w:cs="宋体"/>
        <w:spacing w:val="3"/>
        <w:w w:val="100"/>
        <w:sz w:val="22"/>
        <w:szCs w:val="22"/>
      </w:rPr>
    </w:lvl>
    <w:lvl w:ilvl="1" w:tentative="0">
      <w:start w:val="0"/>
      <w:numFmt w:val="bullet"/>
      <w:lvlText w:val="•"/>
      <w:lvlJc w:val="left"/>
      <w:pPr>
        <w:ind w:left="830" w:hanging="615"/>
      </w:pPr>
      <w:rPr>
        <w:rFonts w:hint="default"/>
      </w:rPr>
    </w:lvl>
    <w:lvl w:ilvl="2" w:tentative="0">
      <w:start w:val="0"/>
      <w:numFmt w:val="bullet"/>
      <w:lvlText w:val="•"/>
      <w:lvlJc w:val="left"/>
      <w:pPr>
        <w:ind w:left="1561" w:hanging="615"/>
      </w:pPr>
      <w:rPr>
        <w:rFonts w:hint="default"/>
      </w:rPr>
    </w:lvl>
    <w:lvl w:ilvl="3" w:tentative="0">
      <w:start w:val="0"/>
      <w:numFmt w:val="bullet"/>
      <w:lvlText w:val="•"/>
      <w:lvlJc w:val="left"/>
      <w:pPr>
        <w:ind w:left="2292" w:hanging="615"/>
      </w:pPr>
      <w:rPr>
        <w:rFonts w:hint="default"/>
      </w:rPr>
    </w:lvl>
    <w:lvl w:ilvl="4" w:tentative="0">
      <w:start w:val="0"/>
      <w:numFmt w:val="bullet"/>
      <w:lvlText w:val="•"/>
      <w:lvlJc w:val="left"/>
      <w:pPr>
        <w:ind w:left="3022" w:hanging="615"/>
      </w:pPr>
      <w:rPr>
        <w:rFonts w:hint="default"/>
      </w:rPr>
    </w:lvl>
    <w:lvl w:ilvl="5" w:tentative="0">
      <w:start w:val="0"/>
      <w:numFmt w:val="bullet"/>
      <w:lvlText w:val="•"/>
      <w:lvlJc w:val="left"/>
      <w:pPr>
        <w:ind w:left="3753" w:hanging="615"/>
      </w:pPr>
      <w:rPr>
        <w:rFonts w:hint="default"/>
      </w:rPr>
    </w:lvl>
    <w:lvl w:ilvl="6" w:tentative="0">
      <w:start w:val="0"/>
      <w:numFmt w:val="bullet"/>
      <w:lvlText w:val="•"/>
      <w:lvlJc w:val="left"/>
      <w:pPr>
        <w:ind w:left="4484" w:hanging="615"/>
      </w:pPr>
      <w:rPr>
        <w:rFonts w:hint="default"/>
      </w:rPr>
    </w:lvl>
    <w:lvl w:ilvl="7" w:tentative="0">
      <w:start w:val="0"/>
      <w:numFmt w:val="bullet"/>
      <w:lvlText w:val="•"/>
      <w:lvlJc w:val="left"/>
      <w:pPr>
        <w:ind w:left="5214" w:hanging="615"/>
      </w:pPr>
      <w:rPr>
        <w:rFonts w:hint="default"/>
      </w:rPr>
    </w:lvl>
    <w:lvl w:ilvl="8" w:tentative="0">
      <w:start w:val="0"/>
      <w:numFmt w:val="bullet"/>
      <w:lvlText w:val="•"/>
      <w:lvlJc w:val="left"/>
      <w:pPr>
        <w:ind w:left="5945" w:hanging="615"/>
      </w:pPr>
      <w:rPr>
        <w:rFonts w:hint="default"/>
      </w:rPr>
    </w:lvl>
  </w:abstractNum>
  <w:abstractNum w:abstractNumId="78">
    <w:nsid w:val="74C28B35"/>
    <w:multiLevelType w:val="multilevel"/>
    <w:tmpl w:val="74C28B35"/>
    <w:lvl w:ilvl="0" w:tentative="0">
      <w:start w:val="19"/>
      <w:numFmt w:val="decimal"/>
      <w:lvlText w:val="%1"/>
      <w:lvlJc w:val="left"/>
      <w:pPr>
        <w:ind w:left="1184" w:hanging="485"/>
        <w:jc w:val="left"/>
      </w:pPr>
      <w:rPr>
        <w:rFonts w:hint="default"/>
      </w:rPr>
    </w:lvl>
    <w:lvl w:ilvl="1" w:tentative="0">
      <w:start w:val="1"/>
      <w:numFmt w:val="decimal"/>
      <w:lvlText w:val="%1.%2"/>
      <w:lvlJc w:val="left"/>
      <w:pPr>
        <w:ind w:left="1184" w:hanging="485"/>
        <w:jc w:val="left"/>
      </w:pPr>
      <w:rPr>
        <w:rFonts w:hint="default" w:ascii="Calibri" w:hAnsi="Calibri" w:eastAsia="Calibri" w:cs="Calibri"/>
        <w:spacing w:val="-1"/>
        <w:w w:val="100"/>
        <w:sz w:val="24"/>
        <w:szCs w:val="24"/>
      </w:rPr>
    </w:lvl>
    <w:lvl w:ilvl="2" w:tentative="0">
      <w:start w:val="0"/>
      <w:numFmt w:val="bullet"/>
      <w:lvlText w:val="•"/>
      <w:lvlJc w:val="left"/>
      <w:pPr>
        <w:ind w:left="2909" w:hanging="485"/>
      </w:pPr>
      <w:rPr>
        <w:rFonts w:hint="default"/>
      </w:rPr>
    </w:lvl>
    <w:lvl w:ilvl="3" w:tentative="0">
      <w:start w:val="0"/>
      <w:numFmt w:val="bullet"/>
      <w:lvlText w:val="•"/>
      <w:lvlJc w:val="left"/>
      <w:pPr>
        <w:ind w:left="3773" w:hanging="485"/>
      </w:pPr>
      <w:rPr>
        <w:rFonts w:hint="default"/>
      </w:rPr>
    </w:lvl>
    <w:lvl w:ilvl="4" w:tentative="0">
      <w:start w:val="0"/>
      <w:numFmt w:val="bullet"/>
      <w:lvlText w:val="•"/>
      <w:lvlJc w:val="left"/>
      <w:pPr>
        <w:ind w:left="4638" w:hanging="485"/>
      </w:pPr>
      <w:rPr>
        <w:rFonts w:hint="default"/>
      </w:rPr>
    </w:lvl>
    <w:lvl w:ilvl="5" w:tentative="0">
      <w:start w:val="0"/>
      <w:numFmt w:val="bullet"/>
      <w:lvlText w:val="•"/>
      <w:lvlJc w:val="left"/>
      <w:pPr>
        <w:ind w:left="5503" w:hanging="485"/>
      </w:pPr>
      <w:rPr>
        <w:rFonts w:hint="default"/>
      </w:rPr>
    </w:lvl>
    <w:lvl w:ilvl="6" w:tentative="0">
      <w:start w:val="0"/>
      <w:numFmt w:val="bullet"/>
      <w:lvlText w:val="•"/>
      <w:lvlJc w:val="left"/>
      <w:pPr>
        <w:ind w:left="6367" w:hanging="485"/>
      </w:pPr>
      <w:rPr>
        <w:rFonts w:hint="default"/>
      </w:rPr>
    </w:lvl>
    <w:lvl w:ilvl="7" w:tentative="0">
      <w:start w:val="0"/>
      <w:numFmt w:val="bullet"/>
      <w:lvlText w:val="•"/>
      <w:lvlJc w:val="left"/>
      <w:pPr>
        <w:ind w:left="7232" w:hanging="485"/>
      </w:pPr>
      <w:rPr>
        <w:rFonts w:hint="default"/>
      </w:rPr>
    </w:lvl>
    <w:lvl w:ilvl="8" w:tentative="0">
      <w:start w:val="0"/>
      <w:numFmt w:val="bullet"/>
      <w:lvlText w:val="•"/>
      <w:lvlJc w:val="left"/>
      <w:pPr>
        <w:ind w:left="8096" w:hanging="485"/>
      </w:pPr>
      <w:rPr>
        <w:rFonts w:hint="default"/>
      </w:rPr>
    </w:lvl>
  </w:abstractNum>
  <w:abstractNum w:abstractNumId="79">
    <w:nsid w:val="77ECEA79"/>
    <w:multiLevelType w:val="multilevel"/>
    <w:tmpl w:val="77ECEA79"/>
    <w:lvl w:ilvl="0" w:tentative="0">
      <w:start w:val="1"/>
      <w:numFmt w:val="decimal"/>
      <w:lvlText w:val="（%1）"/>
      <w:lvlJc w:val="left"/>
      <w:pPr>
        <w:ind w:left="1301" w:hanging="601"/>
        <w:jc w:val="left"/>
      </w:pPr>
      <w:rPr>
        <w:rFonts w:hint="default" w:ascii="宋体" w:hAnsi="宋体" w:eastAsia="宋体" w:cs="宋体"/>
        <w:spacing w:val="-2"/>
        <w:w w:val="100"/>
        <w:sz w:val="22"/>
        <w:szCs w:val="22"/>
      </w:rPr>
    </w:lvl>
    <w:lvl w:ilvl="1" w:tentative="0">
      <w:start w:val="0"/>
      <w:numFmt w:val="bullet"/>
      <w:lvlText w:val="•"/>
      <w:lvlJc w:val="left"/>
      <w:pPr>
        <w:ind w:left="2152" w:hanging="601"/>
      </w:pPr>
      <w:rPr>
        <w:rFonts w:hint="default"/>
      </w:rPr>
    </w:lvl>
    <w:lvl w:ilvl="2" w:tentative="0">
      <w:start w:val="0"/>
      <w:numFmt w:val="bullet"/>
      <w:lvlText w:val="•"/>
      <w:lvlJc w:val="left"/>
      <w:pPr>
        <w:ind w:left="3005" w:hanging="601"/>
      </w:pPr>
      <w:rPr>
        <w:rFonts w:hint="default"/>
      </w:rPr>
    </w:lvl>
    <w:lvl w:ilvl="3" w:tentative="0">
      <w:start w:val="0"/>
      <w:numFmt w:val="bullet"/>
      <w:lvlText w:val="•"/>
      <w:lvlJc w:val="left"/>
      <w:pPr>
        <w:ind w:left="3857" w:hanging="601"/>
      </w:pPr>
      <w:rPr>
        <w:rFonts w:hint="default"/>
      </w:rPr>
    </w:lvl>
    <w:lvl w:ilvl="4" w:tentative="0">
      <w:start w:val="0"/>
      <w:numFmt w:val="bullet"/>
      <w:lvlText w:val="•"/>
      <w:lvlJc w:val="left"/>
      <w:pPr>
        <w:ind w:left="4710" w:hanging="601"/>
      </w:pPr>
      <w:rPr>
        <w:rFonts w:hint="default"/>
      </w:rPr>
    </w:lvl>
    <w:lvl w:ilvl="5" w:tentative="0">
      <w:start w:val="0"/>
      <w:numFmt w:val="bullet"/>
      <w:lvlText w:val="•"/>
      <w:lvlJc w:val="left"/>
      <w:pPr>
        <w:ind w:left="5563" w:hanging="601"/>
      </w:pPr>
      <w:rPr>
        <w:rFonts w:hint="default"/>
      </w:rPr>
    </w:lvl>
    <w:lvl w:ilvl="6" w:tentative="0">
      <w:start w:val="0"/>
      <w:numFmt w:val="bullet"/>
      <w:lvlText w:val="•"/>
      <w:lvlJc w:val="left"/>
      <w:pPr>
        <w:ind w:left="6415" w:hanging="601"/>
      </w:pPr>
      <w:rPr>
        <w:rFonts w:hint="default"/>
      </w:rPr>
    </w:lvl>
    <w:lvl w:ilvl="7" w:tentative="0">
      <w:start w:val="0"/>
      <w:numFmt w:val="bullet"/>
      <w:lvlText w:val="•"/>
      <w:lvlJc w:val="left"/>
      <w:pPr>
        <w:ind w:left="7268" w:hanging="601"/>
      </w:pPr>
      <w:rPr>
        <w:rFonts w:hint="default"/>
      </w:rPr>
    </w:lvl>
    <w:lvl w:ilvl="8" w:tentative="0">
      <w:start w:val="0"/>
      <w:numFmt w:val="bullet"/>
      <w:lvlText w:val="•"/>
      <w:lvlJc w:val="left"/>
      <w:pPr>
        <w:ind w:left="8120" w:hanging="601"/>
      </w:pPr>
      <w:rPr>
        <w:rFonts w:hint="default"/>
      </w:rPr>
    </w:lvl>
  </w:abstractNum>
  <w:abstractNum w:abstractNumId="80">
    <w:nsid w:val="79AA4FA4"/>
    <w:multiLevelType w:val="multilevel"/>
    <w:tmpl w:val="79AA4FA4"/>
    <w:lvl w:ilvl="0" w:tentative="0">
      <w:start w:val="15"/>
      <w:numFmt w:val="decimal"/>
      <w:lvlText w:val="%1"/>
      <w:lvlJc w:val="left"/>
      <w:pPr>
        <w:ind w:left="220" w:hanging="490"/>
        <w:jc w:val="left"/>
      </w:pPr>
      <w:rPr>
        <w:rFonts w:hint="default"/>
      </w:rPr>
    </w:lvl>
    <w:lvl w:ilvl="1" w:tentative="0">
      <w:start w:val="1"/>
      <w:numFmt w:val="decimal"/>
      <w:lvlText w:val="%1.%2"/>
      <w:lvlJc w:val="left"/>
      <w:pPr>
        <w:ind w:left="220" w:hanging="490"/>
        <w:jc w:val="left"/>
      </w:pPr>
      <w:rPr>
        <w:rFonts w:hint="default" w:ascii="Calibri" w:hAnsi="Calibri" w:eastAsia="Calibri" w:cs="Calibri"/>
        <w:spacing w:val="-1"/>
        <w:w w:val="100"/>
        <w:sz w:val="24"/>
        <w:szCs w:val="24"/>
      </w:rPr>
    </w:lvl>
    <w:lvl w:ilvl="2" w:tentative="0">
      <w:start w:val="0"/>
      <w:numFmt w:val="bullet"/>
      <w:lvlText w:val="•"/>
      <w:lvlJc w:val="left"/>
      <w:pPr>
        <w:ind w:left="2141" w:hanging="490"/>
      </w:pPr>
      <w:rPr>
        <w:rFonts w:hint="default"/>
      </w:rPr>
    </w:lvl>
    <w:lvl w:ilvl="3" w:tentative="0">
      <w:start w:val="0"/>
      <w:numFmt w:val="bullet"/>
      <w:lvlText w:val="•"/>
      <w:lvlJc w:val="left"/>
      <w:pPr>
        <w:ind w:left="3101" w:hanging="490"/>
      </w:pPr>
      <w:rPr>
        <w:rFonts w:hint="default"/>
      </w:rPr>
    </w:lvl>
    <w:lvl w:ilvl="4" w:tentative="0">
      <w:start w:val="0"/>
      <w:numFmt w:val="bullet"/>
      <w:lvlText w:val="•"/>
      <w:lvlJc w:val="left"/>
      <w:pPr>
        <w:ind w:left="4062" w:hanging="490"/>
      </w:pPr>
      <w:rPr>
        <w:rFonts w:hint="default"/>
      </w:rPr>
    </w:lvl>
    <w:lvl w:ilvl="5" w:tentative="0">
      <w:start w:val="0"/>
      <w:numFmt w:val="bullet"/>
      <w:lvlText w:val="•"/>
      <w:lvlJc w:val="left"/>
      <w:pPr>
        <w:ind w:left="5023" w:hanging="490"/>
      </w:pPr>
      <w:rPr>
        <w:rFonts w:hint="default"/>
      </w:rPr>
    </w:lvl>
    <w:lvl w:ilvl="6" w:tentative="0">
      <w:start w:val="0"/>
      <w:numFmt w:val="bullet"/>
      <w:lvlText w:val="•"/>
      <w:lvlJc w:val="left"/>
      <w:pPr>
        <w:ind w:left="5983" w:hanging="490"/>
      </w:pPr>
      <w:rPr>
        <w:rFonts w:hint="default"/>
      </w:rPr>
    </w:lvl>
    <w:lvl w:ilvl="7" w:tentative="0">
      <w:start w:val="0"/>
      <w:numFmt w:val="bullet"/>
      <w:lvlText w:val="•"/>
      <w:lvlJc w:val="left"/>
      <w:pPr>
        <w:ind w:left="6944" w:hanging="490"/>
      </w:pPr>
      <w:rPr>
        <w:rFonts w:hint="default"/>
      </w:rPr>
    </w:lvl>
    <w:lvl w:ilvl="8" w:tentative="0">
      <w:start w:val="0"/>
      <w:numFmt w:val="bullet"/>
      <w:lvlText w:val="•"/>
      <w:lvlJc w:val="left"/>
      <w:pPr>
        <w:ind w:left="7904" w:hanging="490"/>
      </w:pPr>
      <w:rPr>
        <w:rFonts w:hint="default"/>
      </w:rPr>
    </w:lvl>
  </w:abstractNum>
  <w:abstractNum w:abstractNumId="81">
    <w:nsid w:val="7C246926"/>
    <w:multiLevelType w:val="multilevel"/>
    <w:tmpl w:val="7C246926"/>
    <w:lvl w:ilvl="0" w:tentative="0">
      <w:start w:val="1"/>
      <w:numFmt w:val="lowerLetter"/>
      <w:lvlText w:val="%1."/>
      <w:lvlJc w:val="left"/>
      <w:pPr>
        <w:ind w:left="876" w:hanging="177"/>
        <w:jc w:val="left"/>
      </w:pPr>
      <w:rPr>
        <w:rFonts w:hint="default" w:ascii="Calibri" w:hAnsi="Calibri" w:eastAsia="Calibri" w:cs="Calibri"/>
        <w:spacing w:val="-1"/>
        <w:w w:val="100"/>
        <w:sz w:val="22"/>
        <w:szCs w:val="22"/>
      </w:rPr>
    </w:lvl>
    <w:lvl w:ilvl="1" w:tentative="0">
      <w:start w:val="0"/>
      <w:numFmt w:val="bullet"/>
      <w:lvlText w:val="•"/>
      <w:lvlJc w:val="left"/>
      <w:pPr>
        <w:ind w:left="1774" w:hanging="177"/>
      </w:pPr>
      <w:rPr>
        <w:rFonts w:hint="default"/>
      </w:rPr>
    </w:lvl>
    <w:lvl w:ilvl="2" w:tentative="0">
      <w:start w:val="0"/>
      <w:numFmt w:val="bullet"/>
      <w:lvlText w:val="•"/>
      <w:lvlJc w:val="left"/>
      <w:pPr>
        <w:ind w:left="2669" w:hanging="177"/>
      </w:pPr>
      <w:rPr>
        <w:rFonts w:hint="default"/>
      </w:rPr>
    </w:lvl>
    <w:lvl w:ilvl="3" w:tentative="0">
      <w:start w:val="0"/>
      <w:numFmt w:val="bullet"/>
      <w:lvlText w:val="•"/>
      <w:lvlJc w:val="left"/>
      <w:pPr>
        <w:ind w:left="3563" w:hanging="177"/>
      </w:pPr>
      <w:rPr>
        <w:rFonts w:hint="default"/>
      </w:rPr>
    </w:lvl>
    <w:lvl w:ilvl="4" w:tentative="0">
      <w:start w:val="0"/>
      <w:numFmt w:val="bullet"/>
      <w:lvlText w:val="•"/>
      <w:lvlJc w:val="left"/>
      <w:pPr>
        <w:ind w:left="4458" w:hanging="177"/>
      </w:pPr>
      <w:rPr>
        <w:rFonts w:hint="default"/>
      </w:rPr>
    </w:lvl>
    <w:lvl w:ilvl="5" w:tentative="0">
      <w:start w:val="0"/>
      <w:numFmt w:val="bullet"/>
      <w:lvlText w:val="•"/>
      <w:lvlJc w:val="left"/>
      <w:pPr>
        <w:ind w:left="5353" w:hanging="177"/>
      </w:pPr>
      <w:rPr>
        <w:rFonts w:hint="default"/>
      </w:rPr>
    </w:lvl>
    <w:lvl w:ilvl="6" w:tentative="0">
      <w:start w:val="0"/>
      <w:numFmt w:val="bullet"/>
      <w:lvlText w:val="•"/>
      <w:lvlJc w:val="left"/>
      <w:pPr>
        <w:ind w:left="6247" w:hanging="177"/>
      </w:pPr>
      <w:rPr>
        <w:rFonts w:hint="default"/>
      </w:rPr>
    </w:lvl>
    <w:lvl w:ilvl="7" w:tentative="0">
      <w:start w:val="0"/>
      <w:numFmt w:val="bullet"/>
      <w:lvlText w:val="•"/>
      <w:lvlJc w:val="left"/>
      <w:pPr>
        <w:ind w:left="7142" w:hanging="177"/>
      </w:pPr>
      <w:rPr>
        <w:rFonts w:hint="default"/>
      </w:rPr>
    </w:lvl>
    <w:lvl w:ilvl="8" w:tentative="0">
      <w:start w:val="0"/>
      <w:numFmt w:val="bullet"/>
      <w:lvlText w:val="•"/>
      <w:lvlJc w:val="left"/>
      <w:pPr>
        <w:ind w:left="8036" w:hanging="177"/>
      </w:pPr>
      <w:rPr>
        <w:rFonts w:hint="default"/>
      </w:rPr>
    </w:lvl>
  </w:abstractNum>
  <w:abstractNum w:abstractNumId="82">
    <w:nsid w:val="7DEC2089"/>
    <w:multiLevelType w:val="multilevel"/>
    <w:tmpl w:val="7DEC2089"/>
    <w:lvl w:ilvl="0" w:tentative="0">
      <w:start w:val="1"/>
      <w:numFmt w:val="decimal"/>
      <w:lvlText w:val="（%1）"/>
      <w:lvlJc w:val="left"/>
      <w:pPr>
        <w:ind w:left="1301" w:hanging="601"/>
        <w:jc w:val="left"/>
      </w:pPr>
      <w:rPr>
        <w:rFonts w:hint="default" w:ascii="宋体" w:hAnsi="宋体" w:eastAsia="宋体" w:cs="宋体"/>
        <w:spacing w:val="-2"/>
        <w:w w:val="100"/>
        <w:sz w:val="22"/>
        <w:szCs w:val="22"/>
      </w:rPr>
    </w:lvl>
    <w:lvl w:ilvl="1" w:tentative="0">
      <w:start w:val="0"/>
      <w:numFmt w:val="bullet"/>
      <w:lvlText w:val="•"/>
      <w:lvlJc w:val="left"/>
      <w:pPr>
        <w:ind w:left="2152" w:hanging="601"/>
      </w:pPr>
      <w:rPr>
        <w:rFonts w:hint="default"/>
      </w:rPr>
    </w:lvl>
    <w:lvl w:ilvl="2" w:tentative="0">
      <w:start w:val="0"/>
      <w:numFmt w:val="bullet"/>
      <w:lvlText w:val="•"/>
      <w:lvlJc w:val="left"/>
      <w:pPr>
        <w:ind w:left="3005" w:hanging="601"/>
      </w:pPr>
      <w:rPr>
        <w:rFonts w:hint="default"/>
      </w:rPr>
    </w:lvl>
    <w:lvl w:ilvl="3" w:tentative="0">
      <w:start w:val="0"/>
      <w:numFmt w:val="bullet"/>
      <w:lvlText w:val="•"/>
      <w:lvlJc w:val="left"/>
      <w:pPr>
        <w:ind w:left="3857" w:hanging="601"/>
      </w:pPr>
      <w:rPr>
        <w:rFonts w:hint="default"/>
      </w:rPr>
    </w:lvl>
    <w:lvl w:ilvl="4" w:tentative="0">
      <w:start w:val="0"/>
      <w:numFmt w:val="bullet"/>
      <w:lvlText w:val="•"/>
      <w:lvlJc w:val="left"/>
      <w:pPr>
        <w:ind w:left="4710" w:hanging="601"/>
      </w:pPr>
      <w:rPr>
        <w:rFonts w:hint="default"/>
      </w:rPr>
    </w:lvl>
    <w:lvl w:ilvl="5" w:tentative="0">
      <w:start w:val="0"/>
      <w:numFmt w:val="bullet"/>
      <w:lvlText w:val="•"/>
      <w:lvlJc w:val="left"/>
      <w:pPr>
        <w:ind w:left="5563" w:hanging="601"/>
      </w:pPr>
      <w:rPr>
        <w:rFonts w:hint="default"/>
      </w:rPr>
    </w:lvl>
    <w:lvl w:ilvl="6" w:tentative="0">
      <w:start w:val="0"/>
      <w:numFmt w:val="bullet"/>
      <w:lvlText w:val="•"/>
      <w:lvlJc w:val="left"/>
      <w:pPr>
        <w:ind w:left="6415" w:hanging="601"/>
      </w:pPr>
      <w:rPr>
        <w:rFonts w:hint="default"/>
      </w:rPr>
    </w:lvl>
    <w:lvl w:ilvl="7" w:tentative="0">
      <w:start w:val="0"/>
      <w:numFmt w:val="bullet"/>
      <w:lvlText w:val="•"/>
      <w:lvlJc w:val="left"/>
      <w:pPr>
        <w:ind w:left="7268" w:hanging="601"/>
      </w:pPr>
      <w:rPr>
        <w:rFonts w:hint="default"/>
      </w:rPr>
    </w:lvl>
    <w:lvl w:ilvl="8" w:tentative="0">
      <w:start w:val="0"/>
      <w:numFmt w:val="bullet"/>
      <w:lvlText w:val="•"/>
      <w:lvlJc w:val="left"/>
      <w:pPr>
        <w:ind w:left="8120" w:hanging="601"/>
      </w:pPr>
      <w:rPr>
        <w:rFonts w:hint="default"/>
      </w:rPr>
    </w:lvl>
  </w:abstractNum>
  <w:abstractNum w:abstractNumId="83">
    <w:nsid w:val="7F3C18D9"/>
    <w:multiLevelType w:val="singleLevel"/>
    <w:tmpl w:val="7F3C18D9"/>
    <w:lvl w:ilvl="0" w:tentative="0">
      <w:start w:val="11"/>
      <w:numFmt w:val="decimal"/>
      <w:suff w:val="nothing"/>
      <w:lvlText w:val="%1、"/>
      <w:lvlJc w:val="left"/>
    </w:lvl>
  </w:abstractNum>
  <w:num w:numId="1">
    <w:abstractNumId w:val="34"/>
  </w:num>
  <w:num w:numId="2">
    <w:abstractNumId w:val="19"/>
  </w:num>
  <w:num w:numId="3">
    <w:abstractNumId w:val="69"/>
  </w:num>
  <w:num w:numId="4">
    <w:abstractNumId w:val="16"/>
  </w:num>
  <w:num w:numId="5">
    <w:abstractNumId w:val="83"/>
  </w:num>
  <w:num w:numId="6">
    <w:abstractNumId w:val="77"/>
  </w:num>
  <w:num w:numId="7">
    <w:abstractNumId w:val="36"/>
  </w:num>
  <w:num w:numId="8">
    <w:abstractNumId w:val="5"/>
  </w:num>
  <w:num w:numId="9">
    <w:abstractNumId w:val="51"/>
  </w:num>
  <w:num w:numId="10">
    <w:abstractNumId w:val="70"/>
  </w:num>
  <w:num w:numId="11">
    <w:abstractNumId w:val="17"/>
  </w:num>
  <w:num w:numId="12">
    <w:abstractNumId w:val="32"/>
  </w:num>
  <w:num w:numId="13">
    <w:abstractNumId w:val="50"/>
  </w:num>
  <w:num w:numId="14">
    <w:abstractNumId w:val="23"/>
  </w:num>
  <w:num w:numId="15">
    <w:abstractNumId w:val="22"/>
  </w:num>
  <w:num w:numId="16">
    <w:abstractNumId w:val="8"/>
  </w:num>
  <w:num w:numId="17">
    <w:abstractNumId w:val="64"/>
  </w:num>
  <w:num w:numId="18">
    <w:abstractNumId w:val="73"/>
  </w:num>
  <w:num w:numId="19">
    <w:abstractNumId w:val="41"/>
  </w:num>
  <w:num w:numId="20">
    <w:abstractNumId w:val="63"/>
  </w:num>
  <w:num w:numId="21">
    <w:abstractNumId w:val="11"/>
  </w:num>
  <w:num w:numId="22">
    <w:abstractNumId w:val="81"/>
  </w:num>
  <w:num w:numId="23">
    <w:abstractNumId w:val="79"/>
  </w:num>
  <w:num w:numId="24">
    <w:abstractNumId w:val="15"/>
  </w:num>
  <w:num w:numId="25">
    <w:abstractNumId w:val="74"/>
  </w:num>
  <w:num w:numId="26">
    <w:abstractNumId w:val="6"/>
  </w:num>
  <w:num w:numId="27">
    <w:abstractNumId w:val="57"/>
  </w:num>
  <w:num w:numId="28">
    <w:abstractNumId w:val="2"/>
  </w:num>
  <w:num w:numId="29">
    <w:abstractNumId w:val="68"/>
  </w:num>
  <w:num w:numId="30">
    <w:abstractNumId w:val="82"/>
  </w:num>
  <w:num w:numId="31">
    <w:abstractNumId w:val="0"/>
  </w:num>
  <w:num w:numId="32">
    <w:abstractNumId w:val="49"/>
  </w:num>
  <w:num w:numId="33">
    <w:abstractNumId w:val="66"/>
  </w:num>
  <w:num w:numId="34">
    <w:abstractNumId w:val="33"/>
  </w:num>
  <w:num w:numId="35">
    <w:abstractNumId w:val="24"/>
  </w:num>
  <w:num w:numId="36">
    <w:abstractNumId w:val="52"/>
  </w:num>
  <w:num w:numId="37">
    <w:abstractNumId w:val="80"/>
  </w:num>
  <w:num w:numId="38">
    <w:abstractNumId w:val="14"/>
  </w:num>
  <w:num w:numId="39">
    <w:abstractNumId w:val="4"/>
  </w:num>
  <w:num w:numId="40">
    <w:abstractNumId w:val="13"/>
  </w:num>
  <w:num w:numId="41">
    <w:abstractNumId w:val="71"/>
  </w:num>
  <w:num w:numId="42">
    <w:abstractNumId w:val="1"/>
  </w:num>
  <w:num w:numId="43">
    <w:abstractNumId w:val="44"/>
  </w:num>
  <w:num w:numId="44">
    <w:abstractNumId w:val="3"/>
  </w:num>
  <w:num w:numId="45">
    <w:abstractNumId w:val="72"/>
  </w:num>
  <w:num w:numId="46">
    <w:abstractNumId w:val="78"/>
  </w:num>
  <w:num w:numId="47">
    <w:abstractNumId w:val="65"/>
  </w:num>
  <w:num w:numId="48">
    <w:abstractNumId w:val="53"/>
  </w:num>
  <w:num w:numId="49">
    <w:abstractNumId w:val="75"/>
  </w:num>
  <w:num w:numId="50">
    <w:abstractNumId w:val="37"/>
  </w:num>
  <w:num w:numId="51">
    <w:abstractNumId w:val="39"/>
  </w:num>
  <w:num w:numId="52">
    <w:abstractNumId w:val="21"/>
  </w:num>
  <w:num w:numId="53">
    <w:abstractNumId w:val="54"/>
  </w:num>
  <w:num w:numId="54">
    <w:abstractNumId w:val="45"/>
  </w:num>
  <w:num w:numId="55">
    <w:abstractNumId w:val="28"/>
  </w:num>
  <w:num w:numId="56">
    <w:abstractNumId w:val="48"/>
  </w:num>
  <w:num w:numId="57">
    <w:abstractNumId w:val="12"/>
  </w:num>
  <w:num w:numId="58">
    <w:abstractNumId w:val="61"/>
  </w:num>
  <w:num w:numId="59">
    <w:abstractNumId w:val="42"/>
  </w:num>
  <w:num w:numId="60">
    <w:abstractNumId w:val="55"/>
  </w:num>
  <w:num w:numId="61">
    <w:abstractNumId w:val="10"/>
  </w:num>
  <w:num w:numId="62">
    <w:abstractNumId w:val="43"/>
  </w:num>
  <w:num w:numId="63">
    <w:abstractNumId w:val="59"/>
  </w:num>
  <w:num w:numId="64">
    <w:abstractNumId w:val="67"/>
  </w:num>
  <w:num w:numId="65">
    <w:abstractNumId w:val="47"/>
  </w:num>
  <w:num w:numId="66">
    <w:abstractNumId w:val="26"/>
  </w:num>
  <w:num w:numId="67">
    <w:abstractNumId w:val="9"/>
  </w:num>
  <w:num w:numId="68">
    <w:abstractNumId w:val="58"/>
  </w:num>
  <w:num w:numId="69">
    <w:abstractNumId w:val="60"/>
  </w:num>
  <w:num w:numId="70">
    <w:abstractNumId w:val="40"/>
  </w:num>
  <w:num w:numId="71">
    <w:abstractNumId w:val="76"/>
  </w:num>
  <w:num w:numId="72">
    <w:abstractNumId w:val="25"/>
  </w:num>
  <w:num w:numId="73">
    <w:abstractNumId w:val="46"/>
  </w:num>
  <w:num w:numId="74">
    <w:abstractNumId w:val="38"/>
  </w:num>
  <w:num w:numId="75">
    <w:abstractNumId w:val="27"/>
  </w:num>
  <w:num w:numId="76">
    <w:abstractNumId w:val="30"/>
  </w:num>
  <w:num w:numId="77">
    <w:abstractNumId w:val="20"/>
  </w:num>
  <w:num w:numId="78">
    <w:abstractNumId w:val="62"/>
  </w:num>
  <w:num w:numId="79">
    <w:abstractNumId w:val="31"/>
  </w:num>
  <w:num w:numId="80">
    <w:abstractNumId w:val="7"/>
  </w:num>
  <w:num w:numId="81">
    <w:abstractNumId w:val="29"/>
  </w:num>
  <w:num w:numId="82">
    <w:abstractNumId w:val="35"/>
  </w:num>
  <w:num w:numId="83">
    <w:abstractNumId w:val="18"/>
  </w:num>
  <w:num w:numId="84">
    <w:abstractNumId w:val="5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xYWY3YjU4YjBiNGYyNGU3ZTYwMDBlY2QxNGQzNzEifQ=="/>
  </w:docVars>
  <w:rsids>
    <w:rsidRoot w:val="00000000"/>
    <w:rsid w:val="000C4A7B"/>
    <w:rsid w:val="00255887"/>
    <w:rsid w:val="003D0404"/>
    <w:rsid w:val="00451A48"/>
    <w:rsid w:val="006E7FF3"/>
    <w:rsid w:val="007F1DAB"/>
    <w:rsid w:val="007F6C6F"/>
    <w:rsid w:val="008A77FC"/>
    <w:rsid w:val="009D0EA3"/>
    <w:rsid w:val="00BA33FC"/>
    <w:rsid w:val="00D074CA"/>
    <w:rsid w:val="00DE11B4"/>
    <w:rsid w:val="010F3B4F"/>
    <w:rsid w:val="011E1FE4"/>
    <w:rsid w:val="01211AD4"/>
    <w:rsid w:val="013E4434"/>
    <w:rsid w:val="01453A14"/>
    <w:rsid w:val="01487061"/>
    <w:rsid w:val="01514167"/>
    <w:rsid w:val="01656D9F"/>
    <w:rsid w:val="01722330"/>
    <w:rsid w:val="017E71B3"/>
    <w:rsid w:val="01CA3F1A"/>
    <w:rsid w:val="01DD11FE"/>
    <w:rsid w:val="01F23CD2"/>
    <w:rsid w:val="021B46DA"/>
    <w:rsid w:val="02236022"/>
    <w:rsid w:val="022E26FA"/>
    <w:rsid w:val="02436430"/>
    <w:rsid w:val="024B1A05"/>
    <w:rsid w:val="024C3EEF"/>
    <w:rsid w:val="026B3007"/>
    <w:rsid w:val="02897931"/>
    <w:rsid w:val="02902A6D"/>
    <w:rsid w:val="029560F7"/>
    <w:rsid w:val="029A0273"/>
    <w:rsid w:val="02A81D04"/>
    <w:rsid w:val="033F6241"/>
    <w:rsid w:val="03582ED9"/>
    <w:rsid w:val="035E3634"/>
    <w:rsid w:val="03AB1B7F"/>
    <w:rsid w:val="03B804CE"/>
    <w:rsid w:val="03C84489"/>
    <w:rsid w:val="03FB03BA"/>
    <w:rsid w:val="041666CF"/>
    <w:rsid w:val="042F4233"/>
    <w:rsid w:val="04AA699D"/>
    <w:rsid w:val="04CF5215"/>
    <w:rsid w:val="04D330E5"/>
    <w:rsid w:val="04DC01EC"/>
    <w:rsid w:val="04DD5D12"/>
    <w:rsid w:val="04DF1A8A"/>
    <w:rsid w:val="05263B5D"/>
    <w:rsid w:val="05373674"/>
    <w:rsid w:val="05605FE5"/>
    <w:rsid w:val="056326BB"/>
    <w:rsid w:val="0591547A"/>
    <w:rsid w:val="05CF250B"/>
    <w:rsid w:val="06141C07"/>
    <w:rsid w:val="06173888"/>
    <w:rsid w:val="061E75AD"/>
    <w:rsid w:val="062F259D"/>
    <w:rsid w:val="064A6AD9"/>
    <w:rsid w:val="064E336B"/>
    <w:rsid w:val="06AF7736"/>
    <w:rsid w:val="06C90C44"/>
    <w:rsid w:val="06D108EA"/>
    <w:rsid w:val="06D849E3"/>
    <w:rsid w:val="06E27E97"/>
    <w:rsid w:val="07100621"/>
    <w:rsid w:val="071255C8"/>
    <w:rsid w:val="07155C37"/>
    <w:rsid w:val="072D4D2F"/>
    <w:rsid w:val="07A82607"/>
    <w:rsid w:val="07AF6549"/>
    <w:rsid w:val="07F910B5"/>
    <w:rsid w:val="08235321"/>
    <w:rsid w:val="08251EAA"/>
    <w:rsid w:val="085D7896"/>
    <w:rsid w:val="088C237D"/>
    <w:rsid w:val="08BC22CF"/>
    <w:rsid w:val="08CE764F"/>
    <w:rsid w:val="08E756EA"/>
    <w:rsid w:val="08FA3336"/>
    <w:rsid w:val="090C7D15"/>
    <w:rsid w:val="090E10C9"/>
    <w:rsid w:val="091B441C"/>
    <w:rsid w:val="09385C0D"/>
    <w:rsid w:val="093A184A"/>
    <w:rsid w:val="094C5610"/>
    <w:rsid w:val="09976DD7"/>
    <w:rsid w:val="09B47989"/>
    <w:rsid w:val="09DD70BF"/>
    <w:rsid w:val="0A095E6E"/>
    <w:rsid w:val="0A35433E"/>
    <w:rsid w:val="0A374116"/>
    <w:rsid w:val="0A3A44B6"/>
    <w:rsid w:val="0A3D797F"/>
    <w:rsid w:val="0A4A6F22"/>
    <w:rsid w:val="0AC427DF"/>
    <w:rsid w:val="0AD96F7B"/>
    <w:rsid w:val="0ADB08F1"/>
    <w:rsid w:val="0AEC4F01"/>
    <w:rsid w:val="0AEE2A27"/>
    <w:rsid w:val="0AF142C5"/>
    <w:rsid w:val="0B196B2C"/>
    <w:rsid w:val="0B6542B2"/>
    <w:rsid w:val="0B937978"/>
    <w:rsid w:val="0B9906A6"/>
    <w:rsid w:val="0BA63987"/>
    <w:rsid w:val="0BCD6AE0"/>
    <w:rsid w:val="0BDC31C7"/>
    <w:rsid w:val="0BF07E40"/>
    <w:rsid w:val="0C1125EB"/>
    <w:rsid w:val="0C41302A"/>
    <w:rsid w:val="0C985340"/>
    <w:rsid w:val="0CA05FA3"/>
    <w:rsid w:val="0CBD007D"/>
    <w:rsid w:val="0CC010A8"/>
    <w:rsid w:val="0CDB3B6D"/>
    <w:rsid w:val="0CF25341"/>
    <w:rsid w:val="0CFE2CC9"/>
    <w:rsid w:val="0D4015A6"/>
    <w:rsid w:val="0D4728C2"/>
    <w:rsid w:val="0D657CAC"/>
    <w:rsid w:val="0D7F72CE"/>
    <w:rsid w:val="0DAF0B93"/>
    <w:rsid w:val="0DC82F97"/>
    <w:rsid w:val="0DDA1988"/>
    <w:rsid w:val="0DDD2556"/>
    <w:rsid w:val="0E39045D"/>
    <w:rsid w:val="0E6C0832"/>
    <w:rsid w:val="0E7A4056"/>
    <w:rsid w:val="0EB035BB"/>
    <w:rsid w:val="0EC21134"/>
    <w:rsid w:val="0EC52949"/>
    <w:rsid w:val="0F0767AD"/>
    <w:rsid w:val="0F113188"/>
    <w:rsid w:val="0F365A8B"/>
    <w:rsid w:val="0F386966"/>
    <w:rsid w:val="0F7A6F7F"/>
    <w:rsid w:val="0FD146C5"/>
    <w:rsid w:val="0FD611FA"/>
    <w:rsid w:val="0FE81AD5"/>
    <w:rsid w:val="0FF94348"/>
    <w:rsid w:val="0FFF1232"/>
    <w:rsid w:val="1022253C"/>
    <w:rsid w:val="10390BE8"/>
    <w:rsid w:val="10482BD9"/>
    <w:rsid w:val="10484987"/>
    <w:rsid w:val="104950C2"/>
    <w:rsid w:val="10611392"/>
    <w:rsid w:val="109C2F25"/>
    <w:rsid w:val="10BC7B65"/>
    <w:rsid w:val="10CA1840"/>
    <w:rsid w:val="10E8616A"/>
    <w:rsid w:val="11360C84"/>
    <w:rsid w:val="11427629"/>
    <w:rsid w:val="11553800"/>
    <w:rsid w:val="116E48C1"/>
    <w:rsid w:val="118572CC"/>
    <w:rsid w:val="11943BFC"/>
    <w:rsid w:val="119500A0"/>
    <w:rsid w:val="11A402E3"/>
    <w:rsid w:val="11B94C11"/>
    <w:rsid w:val="11C32379"/>
    <w:rsid w:val="11D5049D"/>
    <w:rsid w:val="12011292"/>
    <w:rsid w:val="126637EB"/>
    <w:rsid w:val="12706417"/>
    <w:rsid w:val="12CD36D9"/>
    <w:rsid w:val="12D4487B"/>
    <w:rsid w:val="12D746E8"/>
    <w:rsid w:val="12E12E71"/>
    <w:rsid w:val="12E666D9"/>
    <w:rsid w:val="12EB783B"/>
    <w:rsid w:val="130A61F8"/>
    <w:rsid w:val="13165211"/>
    <w:rsid w:val="13695B2D"/>
    <w:rsid w:val="136E2957"/>
    <w:rsid w:val="139A4F06"/>
    <w:rsid w:val="13D73FAB"/>
    <w:rsid w:val="13E1053F"/>
    <w:rsid w:val="1404150D"/>
    <w:rsid w:val="14123C2A"/>
    <w:rsid w:val="14180BB8"/>
    <w:rsid w:val="143C0CA7"/>
    <w:rsid w:val="14902DA1"/>
    <w:rsid w:val="14A55747"/>
    <w:rsid w:val="14F450DE"/>
    <w:rsid w:val="14FC6251"/>
    <w:rsid w:val="150572EB"/>
    <w:rsid w:val="151D0D17"/>
    <w:rsid w:val="1528122B"/>
    <w:rsid w:val="15416217"/>
    <w:rsid w:val="156264EB"/>
    <w:rsid w:val="15644D46"/>
    <w:rsid w:val="15C03212"/>
    <w:rsid w:val="15E453EB"/>
    <w:rsid w:val="15EF4A8C"/>
    <w:rsid w:val="16227A29"/>
    <w:rsid w:val="1629525B"/>
    <w:rsid w:val="162B2D81"/>
    <w:rsid w:val="164E6E72"/>
    <w:rsid w:val="16644E87"/>
    <w:rsid w:val="16663DB9"/>
    <w:rsid w:val="16D96139"/>
    <w:rsid w:val="16F6321C"/>
    <w:rsid w:val="16F724FF"/>
    <w:rsid w:val="16FA344D"/>
    <w:rsid w:val="17571954"/>
    <w:rsid w:val="17B35C46"/>
    <w:rsid w:val="17BC6D09"/>
    <w:rsid w:val="17D157F4"/>
    <w:rsid w:val="17D9680D"/>
    <w:rsid w:val="17DC0EFC"/>
    <w:rsid w:val="17E56F60"/>
    <w:rsid w:val="17F75C14"/>
    <w:rsid w:val="17FB377B"/>
    <w:rsid w:val="18300B23"/>
    <w:rsid w:val="18684596"/>
    <w:rsid w:val="189746FE"/>
    <w:rsid w:val="18ED6A14"/>
    <w:rsid w:val="1901601B"/>
    <w:rsid w:val="191A1C8A"/>
    <w:rsid w:val="191A3181"/>
    <w:rsid w:val="192835A8"/>
    <w:rsid w:val="192B20E3"/>
    <w:rsid w:val="193E2DCB"/>
    <w:rsid w:val="197B7862"/>
    <w:rsid w:val="19D96F98"/>
    <w:rsid w:val="1A400032"/>
    <w:rsid w:val="1A404921"/>
    <w:rsid w:val="1A606D71"/>
    <w:rsid w:val="1A7B54D4"/>
    <w:rsid w:val="1A98475D"/>
    <w:rsid w:val="1AA50C28"/>
    <w:rsid w:val="1AAF5366"/>
    <w:rsid w:val="1ABF1CEA"/>
    <w:rsid w:val="1ACB7216"/>
    <w:rsid w:val="1AE94FB9"/>
    <w:rsid w:val="1AF57E02"/>
    <w:rsid w:val="1B197BC7"/>
    <w:rsid w:val="1B1F6C2C"/>
    <w:rsid w:val="1B2129A5"/>
    <w:rsid w:val="1B3A3A66"/>
    <w:rsid w:val="1B495A57"/>
    <w:rsid w:val="1B6C00C4"/>
    <w:rsid w:val="1B715715"/>
    <w:rsid w:val="1B762B2C"/>
    <w:rsid w:val="1B770005"/>
    <w:rsid w:val="1B7E6D9F"/>
    <w:rsid w:val="1B945848"/>
    <w:rsid w:val="1BA142B9"/>
    <w:rsid w:val="1BBD002A"/>
    <w:rsid w:val="1BC31CAE"/>
    <w:rsid w:val="1BCD0437"/>
    <w:rsid w:val="1BD9300C"/>
    <w:rsid w:val="1BDD2D6F"/>
    <w:rsid w:val="1BE30BF5"/>
    <w:rsid w:val="1C275D99"/>
    <w:rsid w:val="1C295FB5"/>
    <w:rsid w:val="1C3B7A96"/>
    <w:rsid w:val="1C5340CB"/>
    <w:rsid w:val="1C5B5A42"/>
    <w:rsid w:val="1C5F62DB"/>
    <w:rsid w:val="1C8572A2"/>
    <w:rsid w:val="1CA134B6"/>
    <w:rsid w:val="1CC17F9B"/>
    <w:rsid w:val="1CE26164"/>
    <w:rsid w:val="1D093953"/>
    <w:rsid w:val="1D100E26"/>
    <w:rsid w:val="1D183933"/>
    <w:rsid w:val="1D373A6E"/>
    <w:rsid w:val="1D90796E"/>
    <w:rsid w:val="1DB57542"/>
    <w:rsid w:val="1DBE272D"/>
    <w:rsid w:val="1DD45AAC"/>
    <w:rsid w:val="1DDC7057"/>
    <w:rsid w:val="1E043040"/>
    <w:rsid w:val="1E205195"/>
    <w:rsid w:val="1E674B72"/>
    <w:rsid w:val="1E6C03DB"/>
    <w:rsid w:val="1E85149C"/>
    <w:rsid w:val="1EA336D1"/>
    <w:rsid w:val="1EB56449"/>
    <w:rsid w:val="1EDC1F05"/>
    <w:rsid w:val="1EEF4276"/>
    <w:rsid w:val="1F013B6F"/>
    <w:rsid w:val="1F081169"/>
    <w:rsid w:val="1F093E7B"/>
    <w:rsid w:val="1F2E38E2"/>
    <w:rsid w:val="1FC127D5"/>
    <w:rsid w:val="1FF57F5C"/>
    <w:rsid w:val="200F7270"/>
    <w:rsid w:val="204213F3"/>
    <w:rsid w:val="204A64FA"/>
    <w:rsid w:val="204D5FEA"/>
    <w:rsid w:val="20983808"/>
    <w:rsid w:val="209F5F4B"/>
    <w:rsid w:val="20B61DE1"/>
    <w:rsid w:val="20C10F53"/>
    <w:rsid w:val="20C77B4A"/>
    <w:rsid w:val="210B5C89"/>
    <w:rsid w:val="211F34E2"/>
    <w:rsid w:val="215313DE"/>
    <w:rsid w:val="21570ECE"/>
    <w:rsid w:val="217735C4"/>
    <w:rsid w:val="2181094D"/>
    <w:rsid w:val="218617B3"/>
    <w:rsid w:val="21DF2C72"/>
    <w:rsid w:val="21E30AD6"/>
    <w:rsid w:val="21E94D31"/>
    <w:rsid w:val="21EA7F94"/>
    <w:rsid w:val="21EE5B91"/>
    <w:rsid w:val="21F00B60"/>
    <w:rsid w:val="21F708BC"/>
    <w:rsid w:val="220646A2"/>
    <w:rsid w:val="22262847"/>
    <w:rsid w:val="225E003A"/>
    <w:rsid w:val="2262011A"/>
    <w:rsid w:val="227C4964"/>
    <w:rsid w:val="22C205C9"/>
    <w:rsid w:val="22EB036C"/>
    <w:rsid w:val="22EC1D51"/>
    <w:rsid w:val="23AE55BC"/>
    <w:rsid w:val="23D846D8"/>
    <w:rsid w:val="23DA7B95"/>
    <w:rsid w:val="23E15A7C"/>
    <w:rsid w:val="23F252C0"/>
    <w:rsid w:val="24107A5A"/>
    <w:rsid w:val="243565C1"/>
    <w:rsid w:val="24455956"/>
    <w:rsid w:val="2448004A"/>
    <w:rsid w:val="244F40DF"/>
    <w:rsid w:val="24576453"/>
    <w:rsid w:val="24A5668D"/>
    <w:rsid w:val="24A81A41"/>
    <w:rsid w:val="24AB32DF"/>
    <w:rsid w:val="24E54A43"/>
    <w:rsid w:val="24E95A74"/>
    <w:rsid w:val="24FF1D61"/>
    <w:rsid w:val="250E741D"/>
    <w:rsid w:val="25551BC9"/>
    <w:rsid w:val="255A0F8D"/>
    <w:rsid w:val="255B2F47"/>
    <w:rsid w:val="25627E42"/>
    <w:rsid w:val="25A62187"/>
    <w:rsid w:val="25B74631"/>
    <w:rsid w:val="25F5515A"/>
    <w:rsid w:val="2604714B"/>
    <w:rsid w:val="2609650F"/>
    <w:rsid w:val="260F621B"/>
    <w:rsid w:val="261C26E6"/>
    <w:rsid w:val="262E4690"/>
    <w:rsid w:val="26697E76"/>
    <w:rsid w:val="268564DD"/>
    <w:rsid w:val="26F34A97"/>
    <w:rsid w:val="2725381D"/>
    <w:rsid w:val="272F1FA5"/>
    <w:rsid w:val="273D46C2"/>
    <w:rsid w:val="27514B9C"/>
    <w:rsid w:val="277D71B5"/>
    <w:rsid w:val="27817875"/>
    <w:rsid w:val="278F0C96"/>
    <w:rsid w:val="27A40BE5"/>
    <w:rsid w:val="27E93FEE"/>
    <w:rsid w:val="2820421C"/>
    <w:rsid w:val="28520641"/>
    <w:rsid w:val="28AD1D1C"/>
    <w:rsid w:val="28BA1D43"/>
    <w:rsid w:val="28F60FCD"/>
    <w:rsid w:val="29354FA0"/>
    <w:rsid w:val="293E15C7"/>
    <w:rsid w:val="294C5091"/>
    <w:rsid w:val="29645918"/>
    <w:rsid w:val="29B03871"/>
    <w:rsid w:val="29C52223"/>
    <w:rsid w:val="29CE019B"/>
    <w:rsid w:val="29EC6874"/>
    <w:rsid w:val="2A0E67EA"/>
    <w:rsid w:val="2A150DE3"/>
    <w:rsid w:val="2A187669"/>
    <w:rsid w:val="2A7D127A"/>
    <w:rsid w:val="2A7E30B5"/>
    <w:rsid w:val="2AA44A58"/>
    <w:rsid w:val="2ACA0097"/>
    <w:rsid w:val="2AFC6642"/>
    <w:rsid w:val="2B057BED"/>
    <w:rsid w:val="2B1E0CAF"/>
    <w:rsid w:val="2B46581F"/>
    <w:rsid w:val="2B591CE7"/>
    <w:rsid w:val="2B724B56"/>
    <w:rsid w:val="2B82123D"/>
    <w:rsid w:val="2BCD172D"/>
    <w:rsid w:val="2BF35C97"/>
    <w:rsid w:val="2C0559CB"/>
    <w:rsid w:val="2C161986"/>
    <w:rsid w:val="2C3A06EA"/>
    <w:rsid w:val="2C526E62"/>
    <w:rsid w:val="2C527609"/>
    <w:rsid w:val="2C6B1CD2"/>
    <w:rsid w:val="2C730B86"/>
    <w:rsid w:val="2C864D5D"/>
    <w:rsid w:val="2CB573F1"/>
    <w:rsid w:val="2CB76CC5"/>
    <w:rsid w:val="2CBA0984"/>
    <w:rsid w:val="2CC35B9E"/>
    <w:rsid w:val="2CCC07D3"/>
    <w:rsid w:val="2CCC5682"/>
    <w:rsid w:val="2CD535EF"/>
    <w:rsid w:val="2D0637A8"/>
    <w:rsid w:val="2D200D0E"/>
    <w:rsid w:val="2D2B320F"/>
    <w:rsid w:val="2D4D2C4B"/>
    <w:rsid w:val="2D594220"/>
    <w:rsid w:val="2D621327"/>
    <w:rsid w:val="2D7050C6"/>
    <w:rsid w:val="2D8D03E1"/>
    <w:rsid w:val="2DD6761F"/>
    <w:rsid w:val="2DD815E9"/>
    <w:rsid w:val="2DEA2D48"/>
    <w:rsid w:val="2E111C41"/>
    <w:rsid w:val="2E277E7A"/>
    <w:rsid w:val="2E326532"/>
    <w:rsid w:val="2E6F13BB"/>
    <w:rsid w:val="2E933762"/>
    <w:rsid w:val="2E9621DF"/>
    <w:rsid w:val="2EA37F0F"/>
    <w:rsid w:val="2EC97183"/>
    <w:rsid w:val="2EDA4EED"/>
    <w:rsid w:val="2F0106CB"/>
    <w:rsid w:val="2F061E1A"/>
    <w:rsid w:val="2F260132"/>
    <w:rsid w:val="2F3E36CD"/>
    <w:rsid w:val="2F6331E2"/>
    <w:rsid w:val="2FA07EE4"/>
    <w:rsid w:val="2FDF6C1D"/>
    <w:rsid w:val="2FE14059"/>
    <w:rsid w:val="2FE954D7"/>
    <w:rsid w:val="2FEC4ED7"/>
    <w:rsid w:val="30030473"/>
    <w:rsid w:val="306233EC"/>
    <w:rsid w:val="30731155"/>
    <w:rsid w:val="30894E1C"/>
    <w:rsid w:val="30B31E99"/>
    <w:rsid w:val="30D32CE3"/>
    <w:rsid w:val="30D53BBD"/>
    <w:rsid w:val="31010E56"/>
    <w:rsid w:val="31055B72"/>
    <w:rsid w:val="31124E12"/>
    <w:rsid w:val="311B6FC1"/>
    <w:rsid w:val="31436D79"/>
    <w:rsid w:val="31440D43"/>
    <w:rsid w:val="314E571E"/>
    <w:rsid w:val="319A0963"/>
    <w:rsid w:val="31A16195"/>
    <w:rsid w:val="31A945A6"/>
    <w:rsid w:val="31AD0696"/>
    <w:rsid w:val="31D37F7B"/>
    <w:rsid w:val="31E016AF"/>
    <w:rsid w:val="31E247E4"/>
    <w:rsid w:val="322D17D7"/>
    <w:rsid w:val="32452FC5"/>
    <w:rsid w:val="325D2496"/>
    <w:rsid w:val="327D4CF2"/>
    <w:rsid w:val="329274DD"/>
    <w:rsid w:val="32A907CC"/>
    <w:rsid w:val="32B63781"/>
    <w:rsid w:val="32C71C2C"/>
    <w:rsid w:val="32FF3307"/>
    <w:rsid w:val="332215E4"/>
    <w:rsid w:val="33357B0D"/>
    <w:rsid w:val="33661445"/>
    <w:rsid w:val="339F04B3"/>
    <w:rsid w:val="33C76768"/>
    <w:rsid w:val="33D44600"/>
    <w:rsid w:val="34034EE6"/>
    <w:rsid w:val="34667903"/>
    <w:rsid w:val="346F4D40"/>
    <w:rsid w:val="348C3153"/>
    <w:rsid w:val="34CB5A03"/>
    <w:rsid w:val="34D83C7C"/>
    <w:rsid w:val="354237EC"/>
    <w:rsid w:val="356674DA"/>
    <w:rsid w:val="357276D5"/>
    <w:rsid w:val="3576165C"/>
    <w:rsid w:val="35814314"/>
    <w:rsid w:val="35B77D36"/>
    <w:rsid w:val="35D94150"/>
    <w:rsid w:val="35E77612"/>
    <w:rsid w:val="35FC1BEC"/>
    <w:rsid w:val="361419C9"/>
    <w:rsid w:val="36385DF3"/>
    <w:rsid w:val="36637EBD"/>
    <w:rsid w:val="36687282"/>
    <w:rsid w:val="371116C7"/>
    <w:rsid w:val="37180CA8"/>
    <w:rsid w:val="374455F9"/>
    <w:rsid w:val="3777452F"/>
    <w:rsid w:val="37AE5168"/>
    <w:rsid w:val="37B704C1"/>
    <w:rsid w:val="37ED7A3F"/>
    <w:rsid w:val="37FB3AFE"/>
    <w:rsid w:val="37FC5ED4"/>
    <w:rsid w:val="38233460"/>
    <w:rsid w:val="3864178A"/>
    <w:rsid w:val="38657F1D"/>
    <w:rsid w:val="386A699D"/>
    <w:rsid w:val="38702DEF"/>
    <w:rsid w:val="389B5548"/>
    <w:rsid w:val="38BF3450"/>
    <w:rsid w:val="38D64E86"/>
    <w:rsid w:val="38F35529"/>
    <w:rsid w:val="3912667C"/>
    <w:rsid w:val="39205BF2"/>
    <w:rsid w:val="39333B77"/>
    <w:rsid w:val="39A86313"/>
    <w:rsid w:val="39C12F31"/>
    <w:rsid w:val="3A2D4A6A"/>
    <w:rsid w:val="3A464886"/>
    <w:rsid w:val="3A8A3308"/>
    <w:rsid w:val="3A944AE9"/>
    <w:rsid w:val="3A9B5E78"/>
    <w:rsid w:val="3AE24D43"/>
    <w:rsid w:val="3B4E6A46"/>
    <w:rsid w:val="3B62267D"/>
    <w:rsid w:val="3B626F72"/>
    <w:rsid w:val="3BAF26B6"/>
    <w:rsid w:val="3BD86796"/>
    <w:rsid w:val="3BDF3B42"/>
    <w:rsid w:val="3BEC4ABF"/>
    <w:rsid w:val="3BF55FA0"/>
    <w:rsid w:val="3BF70E8C"/>
    <w:rsid w:val="3C0435A9"/>
    <w:rsid w:val="3C1F6017"/>
    <w:rsid w:val="3C2E0626"/>
    <w:rsid w:val="3C616C4D"/>
    <w:rsid w:val="3C9C76BF"/>
    <w:rsid w:val="3CFD6410"/>
    <w:rsid w:val="3D006466"/>
    <w:rsid w:val="3D44525F"/>
    <w:rsid w:val="3D5A3DC8"/>
    <w:rsid w:val="3D670293"/>
    <w:rsid w:val="3D83756C"/>
    <w:rsid w:val="3DD1570D"/>
    <w:rsid w:val="3DE25B6C"/>
    <w:rsid w:val="3DEB4A20"/>
    <w:rsid w:val="3DFF7ECB"/>
    <w:rsid w:val="3E216694"/>
    <w:rsid w:val="3E2C6DE7"/>
    <w:rsid w:val="3E88226F"/>
    <w:rsid w:val="3E907376"/>
    <w:rsid w:val="3EC72738"/>
    <w:rsid w:val="3EED2388"/>
    <w:rsid w:val="3EF75840"/>
    <w:rsid w:val="3F1735F3"/>
    <w:rsid w:val="3F27099B"/>
    <w:rsid w:val="3F636838"/>
    <w:rsid w:val="3F6C393F"/>
    <w:rsid w:val="3FB122C8"/>
    <w:rsid w:val="3FBE0FE7"/>
    <w:rsid w:val="3FC419CD"/>
    <w:rsid w:val="3FD154E0"/>
    <w:rsid w:val="3FD61700"/>
    <w:rsid w:val="40026051"/>
    <w:rsid w:val="407C5E04"/>
    <w:rsid w:val="40A9471F"/>
    <w:rsid w:val="40ED6D01"/>
    <w:rsid w:val="40EE3E46"/>
    <w:rsid w:val="40F167F2"/>
    <w:rsid w:val="41032081"/>
    <w:rsid w:val="412B7F61"/>
    <w:rsid w:val="414F3004"/>
    <w:rsid w:val="4178476C"/>
    <w:rsid w:val="418036D2"/>
    <w:rsid w:val="41C45CB4"/>
    <w:rsid w:val="41C50B64"/>
    <w:rsid w:val="41F36599"/>
    <w:rsid w:val="41F665C6"/>
    <w:rsid w:val="42C972FA"/>
    <w:rsid w:val="42F02AD9"/>
    <w:rsid w:val="43087E22"/>
    <w:rsid w:val="43195B8C"/>
    <w:rsid w:val="43685167"/>
    <w:rsid w:val="437234EE"/>
    <w:rsid w:val="4383394D"/>
    <w:rsid w:val="438A0837"/>
    <w:rsid w:val="438F1175"/>
    <w:rsid w:val="4391606A"/>
    <w:rsid w:val="43A833B4"/>
    <w:rsid w:val="43BB6C43"/>
    <w:rsid w:val="43C875B2"/>
    <w:rsid w:val="43FE2FD4"/>
    <w:rsid w:val="44263A5A"/>
    <w:rsid w:val="44275C28"/>
    <w:rsid w:val="445B21D4"/>
    <w:rsid w:val="445D419E"/>
    <w:rsid w:val="4475773A"/>
    <w:rsid w:val="44C43BE6"/>
    <w:rsid w:val="44EB5CAA"/>
    <w:rsid w:val="450B1535"/>
    <w:rsid w:val="454D1DD7"/>
    <w:rsid w:val="455D73D3"/>
    <w:rsid w:val="45AD4CB1"/>
    <w:rsid w:val="45E17BA8"/>
    <w:rsid w:val="45E8327A"/>
    <w:rsid w:val="4631143E"/>
    <w:rsid w:val="46570A8D"/>
    <w:rsid w:val="465D0485"/>
    <w:rsid w:val="468A074A"/>
    <w:rsid w:val="46911313"/>
    <w:rsid w:val="46A977DF"/>
    <w:rsid w:val="46BF6A4A"/>
    <w:rsid w:val="46C020AD"/>
    <w:rsid w:val="470434BE"/>
    <w:rsid w:val="47523D62"/>
    <w:rsid w:val="47606F09"/>
    <w:rsid w:val="47D06A35"/>
    <w:rsid w:val="47EA0986"/>
    <w:rsid w:val="47EC7D13"/>
    <w:rsid w:val="480D27DF"/>
    <w:rsid w:val="4819662E"/>
    <w:rsid w:val="481D611E"/>
    <w:rsid w:val="483B0352"/>
    <w:rsid w:val="48474F49"/>
    <w:rsid w:val="485853A8"/>
    <w:rsid w:val="48904B42"/>
    <w:rsid w:val="4894361F"/>
    <w:rsid w:val="489B34E7"/>
    <w:rsid w:val="489D100D"/>
    <w:rsid w:val="491A6D7D"/>
    <w:rsid w:val="492E6109"/>
    <w:rsid w:val="49457064"/>
    <w:rsid w:val="49A20D44"/>
    <w:rsid w:val="49C87296"/>
    <w:rsid w:val="49E14F29"/>
    <w:rsid w:val="4A081F13"/>
    <w:rsid w:val="4A3E237C"/>
    <w:rsid w:val="4A6E2C61"/>
    <w:rsid w:val="4A7E5301"/>
    <w:rsid w:val="4ABD14F2"/>
    <w:rsid w:val="4AC618A0"/>
    <w:rsid w:val="4ACD2317"/>
    <w:rsid w:val="4AFA1A7E"/>
    <w:rsid w:val="4B1D76E5"/>
    <w:rsid w:val="4B2477C4"/>
    <w:rsid w:val="4B2E0642"/>
    <w:rsid w:val="4B58121B"/>
    <w:rsid w:val="4B6978CC"/>
    <w:rsid w:val="4B6D5378"/>
    <w:rsid w:val="4B743905"/>
    <w:rsid w:val="4B7B1C22"/>
    <w:rsid w:val="4B887D52"/>
    <w:rsid w:val="4B941D1B"/>
    <w:rsid w:val="4B971D44"/>
    <w:rsid w:val="4BB01057"/>
    <w:rsid w:val="4BD25472"/>
    <w:rsid w:val="4BF03B4A"/>
    <w:rsid w:val="4BFB6C35"/>
    <w:rsid w:val="4C1160E0"/>
    <w:rsid w:val="4C616E01"/>
    <w:rsid w:val="4C746529"/>
    <w:rsid w:val="4C883D82"/>
    <w:rsid w:val="4CCC6B33"/>
    <w:rsid w:val="4D001B6A"/>
    <w:rsid w:val="4DA17A19"/>
    <w:rsid w:val="4DA370C6"/>
    <w:rsid w:val="4DA93FB0"/>
    <w:rsid w:val="4DB44F02"/>
    <w:rsid w:val="4DD65CA8"/>
    <w:rsid w:val="4DF032E3"/>
    <w:rsid w:val="4E1F24C4"/>
    <w:rsid w:val="4E200716"/>
    <w:rsid w:val="4E2142A9"/>
    <w:rsid w:val="4E4235F2"/>
    <w:rsid w:val="4E4815AE"/>
    <w:rsid w:val="4E5A52AA"/>
    <w:rsid w:val="4E760336"/>
    <w:rsid w:val="4E83548F"/>
    <w:rsid w:val="4E9652EC"/>
    <w:rsid w:val="4E9E788D"/>
    <w:rsid w:val="4EA22473"/>
    <w:rsid w:val="4EB52C2D"/>
    <w:rsid w:val="4EB77F65"/>
    <w:rsid w:val="4F3855EC"/>
    <w:rsid w:val="4F444296"/>
    <w:rsid w:val="4F4A3571"/>
    <w:rsid w:val="4F652159"/>
    <w:rsid w:val="4F6E54B1"/>
    <w:rsid w:val="4FD5108C"/>
    <w:rsid w:val="4FD55530"/>
    <w:rsid w:val="4FDC066D"/>
    <w:rsid w:val="500656EA"/>
    <w:rsid w:val="500B71A4"/>
    <w:rsid w:val="50513302"/>
    <w:rsid w:val="5066262C"/>
    <w:rsid w:val="50852AB2"/>
    <w:rsid w:val="508A2937"/>
    <w:rsid w:val="509176A9"/>
    <w:rsid w:val="50C315EC"/>
    <w:rsid w:val="50D650BC"/>
    <w:rsid w:val="50DD28EE"/>
    <w:rsid w:val="510A120A"/>
    <w:rsid w:val="510D1C66"/>
    <w:rsid w:val="511650A1"/>
    <w:rsid w:val="511735C3"/>
    <w:rsid w:val="51177C37"/>
    <w:rsid w:val="5121358A"/>
    <w:rsid w:val="5139564B"/>
    <w:rsid w:val="516721B8"/>
    <w:rsid w:val="518370CF"/>
    <w:rsid w:val="521A722A"/>
    <w:rsid w:val="521E31BF"/>
    <w:rsid w:val="523D1FF5"/>
    <w:rsid w:val="52524C16"/>
    <w:rsid w:val="5275553A"/>
    <w:rsid w:val="52B753C1"/>
    <w:rsid w:val="52BA1E32"/>
    <w:rsid w:val="52CE12EE"/>
    <w:rsid w:val="531445C2"/>
    <w:rsid w:val="531D3476"/>
    <w:rsid w:val="53226CDE"/>
    <w:rsid w:val="532540D9"/>
    <w:rsid w:val="533407C0"/>
    <w:rsid w:val="53400F13"/>
    <w:rsid w:val="535D3873"/>
    <w:rsid w:val="53966D85"/>
    <w:rsid w:val="539D0113"/>
    <w:rsid w:val="539D57A1"/>
    <w:rsid w:val="53E421E6"/>
    <w:rsid w:val="53F01729"/>
    <w:rsid w:val="53F51CFD"/>
    <w:rsid w:val="53FA3A50"/>
    <w:rsid w:val="54065CB8"/>
    <w:rsid w:val="541C54DC"/>
    <w:rsid w:val="54596730"/>
    <w:rsid w:val="546724CF"/>
    <w:rsid w:val="54684BC5"/>
    <w:rsid w:val="54726C35"/>
    <w:rsid w:val="549A486B"/>
    <w:rsid w:val="549B10C4"/>
    <w:rsid w:val="5520724E"/>
    <w:rsid w:val="553625CD"/>
    <w:rsid w:val="558275C0"/>
    <w:rsid w:val="5588094F"/>
    <w:rsid w:val="55A97243"/>
    <w:rsid w:val="55AE4859"/>
    <w:rsid w:val="55C628FD"/>
    <w:rsid w:val="55E4608E"/>
    <w:rsid w:val="55E55DA1"/>
    <w:rsid w:val="560E72E0"/>
    <w:rsid w:val="563034C0"/>
    <w:rsid w:val="56327239"/>
    <w:rsid w:val="56666EE2"/>
    <w:rsid w:val="56951575"/>
    <w:rsid w:val="56A417B8"/>
    <w:rsid w:val="56BC0DE5"/>
    <w:rsid w:val="56C65BD3"/>
    <w:rsid w:val="56E42429"/>
    <w:rsid w:val="56F6585E"/>
    <w:rsid w:val="57284198"/>
    <w:rsid w:val="575602EE"/>
    <w:rsid w:val="576054F3"/>
    <w:rsid w:val="576D24F2"/>
    <w:rsid w:val="57727B09"/>
    <w:rsid w:val="57B1418D"/>
    <w:rsid w:val="57DF4820"/>
    <w:rsid w:val="57E9601D"/>
    <w:rsid w:val="57F56770"/>
    <w:rsid w:val="5801044D"/>
    <w:rsid w:val="584D4CEE"/>
    <w:rsid w:val="584F04E7"/>
    <w:rsid w:val="58562F86"/>
    <w:rsid w:val="58831FCD"/>
    <w:rsid w:val="58C425E6"/>
    <w:rsid w:val="58EF7663"/>
    <w:rsid w:val="59190B14"/>
    <w:rsid w:val="593432C8"/>
    <w:rsid w:val="5946623D"/>
    <w:rsid w:val="597F4126"/>
    <w:rsid w:val="59851D75"/>
    <w:rsid w:val="59875AED"/>
    <w:rsid w:val="59D16D68"/>
    <w:rsid w:val="59FE7432"/>
    <w:rsid w:val="5A0675B3"/>
    <w:rsid w:val="5A133146"/>
    <w:rsid w:val="5A1A4B1D"/>
    <w:rsid w:val="5A84202D"/>
    <w:rsid w:val="5A9B1124"/>
    <w:rsid w:val="5AAC4F3C"/>
    <w:rsid w:val="5ACA76A6"/>
    <w:rsid w:val="5B296E1B"/>
    <w:rsid w:val="5B307D21"/>
    <w:rsid w:val="5B6341A8"/>
    <w:rsid w:val="5B6C0877"/>
    <w:rsid w:val="5B9866DF"/>
    <w:rsid w:val="5BA51C9E"/>
    <w:rsid w:val="5BAB435C"/>
    <w:rsid w:val="5BB701E0"/>
    <w:rsid w:val="5BC621D1"/>
    <w:rsid w:val="5C180F45"/>
    <w:rsid w:val="5C4B0F25"/>
    <w:rsid w:val="5C501000"/>
    <w:rsid w:val="5C553C81"/>
    <w:rsid w:val="5C6914DA"/>
    <w:rsid w:val="5C9B4CD3"/>
    <w:rsid w:val="5CB97046"/>
    <w:rsid w:val="5CFC40FC"/>
    <w:rsid w:val="5D1E72F3"/>
    <w:rsid w:val="5D2B1327"/>
    <w:rsid w:val="5D6D4FFA"/>
    <w:rsid w:val="5D7D2590"/>
    <w:rsid w:val="5DAD3649"/>
    <w:rsid w:val="5DBB5D65"/>
    <w:rsid w:val="5E0B2BFA"/>
    <w:rsid w:val="5E113A94"/>
    <w:rsid w:val="5E196F30"/>
    <w:rsid w:val="5E22657F"/>
    <w:rsid w:val="5E282CCF"/>
    <w:rsid w:val="5E3653EC"/>
    <w:rsid w:val="5E40626B"/>
    <w:rsid w:val="5E745F14"/>
    <w:rsid w:val="5E7D126D"/>
    <w:rsid w:val="5E98201A"/>
    <w:rsid w:val="5EBD3D5F"/>
    <w:rsid w:val="5EBE33A2"/>
    <w:rsid w:val="5ED74E21"/>
    <w:rsid w:val="5EE4753E"/>
    <w:rsid w:val="5EEE5CC7"/>
    <w:rsid w:val="5F213320"/>
    <w:rsid w:val="5F2416E8"/>
    <w:rsid w:val="5F30585C"/>
    <w:rsid w:val="5F427DC1"/>
    <w:rsid w:val="5F443B39"/>
    <w:rsid w:val="5F56592A"/>
    <w:rsid w:val="5F6B5569"/>
    <w:rsid w:val="5F70475E"/>
    <w:rsid w:val="5F7C32D2"/>
    <w:rsid w:val="5F8108E9"/>
    <w:rsid w:val="5FA665A1"/>
    <w:rsid w:val="5FC1162D"/>
    <w:rsid w:val="5FC7623C"/>
    <w:rsid w:val="600B19E8"/>
    <w:rsid w:val="600B28A8"/>
    <w:rsid w:val="600F2399"/>
    <w:rsid w:val="60262BD3"/>
    <w:rsid w:val="60363DC9"/>
    <w:rsid w:val="603911C4"/>
    <w:rsid w:val="604858AA"/>
    <w:rsid w:val="604F2203"/>
    <w:rsid w:val="60502EF5"/>
    <w:rsid w:val="6057789C"/>
    <w:rsid w:val="60787F3E"/>
    <w:rsid w:val="60C767CF"/>
    <w:rsid w:val="60D333C6"/>
    <w:rsid w:val="60D64C64"/>
    <w:rsid w:val="60E05AE3"/>
    <w:rsid w:val="60E73791"/>
    <w:rsid w:val="6115578D"/>
    <w:rsid w:val="611D6D37"/>
    <w:rsid w:val="612400C6"/>
    <w:rsid w:val="613C7150"/>
    <w:rsid w:val="6148764C"/>
    <w:rsid w:val="614918DA"/>
    <w:rsid w:val="614F18DE"/>
    <w:rsid w:val="61810CF4"/>
    <w:rsid w:val="618225BF"/>
    <w:rsid w:val="61954B1F"/>
    <w:rsid w:val="61BA7168"/>
    <w:rsid w:val="61BF548E"/>
    <w:rsid w:val="61C565C4"/>
    <w:rsid w:val="61E17D65"/>
    <w:rsid w:val="61FF0EEF"/>
    <w:rsid w:val="62BA2CFA"/>
    <w:rsid w:val="62E25DE9"/>
    <w:rsid w:val="62F4356A"/>
    <w:rsid w:val="63144A9E"/>
    <w:rsid w:val="63202A14"/>
    <w:rsid w:val="633914DA"/>
    <w:rsid w:val="634664E7"/>
    <w:rsid w:val="634C5281"/>
    <w:rsid w:val="63515161"/>
    <w:rsid w:val="635F7193"/>
    <w:rsid w:val="63666773"/>
    <w:rsid w:val="6381535B"/>
    <w:rsid w:val="638B7F88"/>
    <w:rsid w:val="63D47B81"/>
    <w:rsid w:val="63D52BA4"/>
    <w:rsid w:val="63F902C8"/>
    <w:rsid w:val="640A35A3"/>
    <w:rsid w:val="64350950"/>
    <w:rsid w:val="644A7E43"/>
    <w:rsid w:val="645C4B95"/>
    <w:rsid w:val="64634A61"/>
    <w:rsid w:val="64847AF3"/>
    <w:rsid w:val="64966BE4"/>
    <w:rsid w:val="64C24B35"/>
    <w:rsid w:val="64C574CA"/>
    <w:rsid w:val="64D60785"/>
    <w:rsid w:val="64DD3377"/>
    <w:rsid w:val="64E57B6C"/>
    <w:rsid w:val="64EB2B7D"/>
    <w:rsid w:val="64FD6C64"/>
    <w:rsid w:val="6502071E"/>
    <w:rsid w:val="652F4A94"/>
    <w:rsid w:val="654A79CF"/>
    <w:rsid w:val="65613F37"/>
    <w:rsid w:val="65766C11"/>
    <w:rsid w:val="65785DC8"/>
    <w:rsid w:val="660653CE"/>
    <w:rsid w:val="661C154A"/>
    <w:rsid w:val="66245E6A"/>
    <w:rsid w:val="66263F98"/>
    <w:rsid w:val="662B15AE"/>
    <w:rsid w:val="663F505A"/>
    <w:rsid w:val="664B1C51"/>
    <w:rsid w:val="66C45DB5"/>
    <w:rsid w:val="66C739CD"/>
    <w:rsid w:val="66CF6C4B"/>
    <w:rsid w:val="66D11D86"/>
    <w:rsid w:val="67176CA3"/>
    <w:rsid w:val="671A2E6E"/>
    <w:rsid w:val="671F4ED9"/>
    <w:rsid w:val="672C55DE"/>
    <w:rsid w:val="673351F7"/>
    <w:rsid w:val="6737657E"/>
    <w:rsid w:val="67564D51"/>
    <w:rsid w:val="67713939"/>
    <w:rsid w:val="67B762E1"/>
    <w:rsid w:val="67D16185"/>
    <w:rsid w:val="67E24644"/>
    <w:rsid w:val="67FC1454"/>
    <w:rsid w:val="6817003C"/>
    <w:rsid w:val="681C2E9E"/>
    <w:rsid w:val="68490412"/>
    <w:rsid w:val="684D3A5E"/>
    <w:rsid w:val="685968A7"/>
    <w:rsid w:val="685979F7"/>
    <w:rsid w:val="68B43ADD"/>
    <w:rsid w:val="68EB28A1"/>
    <w:rsid w:val="68F55EA4"/>
    <w:rsid w:val="69020CEC"/>
    <w:rsid w:val="690857ED"/>
    <w:rsid w:val="69280027"/>
    <w:rsid w:val="6938515B"/>
    <w:rsid w:val="696574CD"/>
    <w:rsid w:val="69807E63"/>
    <w:rsid w:val="69877444"/>
    <w:rsid w:val="69BB0E9B"/>
    <w:rsid w:val="6A266C5C"/>
    <w:rsid w:val="6A31115D"/>
    <w:rsid w:val="6A6D488B"/>
    <w:rsid w:val="6AA87672"/>
    <w:rsid w:val="6AAD4548"/>
    <w:rsid w:val="6AB53B3C"/>
    <w:rsid w:val="6AC50223"/>
    <w:rsid w:val="6AF074E5"/>
    <w:rsid w:val="6AFC5C0F"/>
    <w:rsid w:val="6AFD41F5"/>
    <w:rsid w:val="6B0638BC"/>
    <w:rsid w:val="6B1946BF"/>
    <w:rsid w:val="6B4B2BA4"/>
    <w:rsid w:val="6B755F23"/>
    <w:rsid w:val="6B9B0F84"/>
    <w:rsid w:val="6BC00EEB"/>
    <w:rsid w:val="6BEC7A32"/>
    <w:rsid w:val="6BFF59B7"/>
    <w:rsid w:val="6C0A7EB8"/>
    <w:rsid w:val="6C1C54F5"/>
    <w:rsid w:val="6C761E76"/>
    <w:rsid w:val="6CBA7B79"/>
    <w:rsid w:val="6CC91B21"/>
    <w:rsid w:val="6CD77FC6"/>
    <w:rsid w:val="6D1D0F58"/>
    <w:rsid w:val="6D5E495F"/>
    <w:rsid w:val="6D714693"/>
    <w:rsid w:val="6D7917E6"/>
    <w:rsid w:val="6DAF0D17"/>
    <w:rsid w:val="6DDF271A"/>
    <w:rsid w:val="6DFC0C1A"/>
    <w:rsid w:val="6E5024FA"/>
    <w:rsid w:val="6E8C39B7"/>
    <w:rsid w:val="6E963B5E"/>
    <w:rsid w:val="6EAE7221"/>
    <w:rsid w:val="6EF24990"/>
    <w:rsid w:val="6F2E2769"/>
    <w:rsid w:val="6F345978"/>
    <w:rsid w:val="6F3B12F1"/>
    <w:rsid w:val="6F3B5E65"/>
    <w:rsid w:val="6F647ED9"/>
    <w:rsid w:val="6F885CC3"/>
    <w:rsid w:val="6FC7018B"/>
    <w:rsid w:val="6FFA6676"/>
    <w:rsid w:val="700C41FF"/>
    <w:rsid w:val="70180DF5"/>
    <w:rsid w:val="70497201"/>
    <w:rsid w:val="704E0CBB"/>
    <w:rsid w:val="707A385E"/>
    <w:rsid w:val="70C20D61"/>
    <w:rsid w:val="7121501E"/>
    <w:rsid w:val="716B3755"/>
    <w:rsid w:val="71702364"/>
    <w:rsid w:val="71726BC2"/>
    <w:rsid w:val="717F3E78"/>
    <w:rsid w:val="71B96178"/>
    <w:rsid w:val="71E573FD"/>
    <w:rsid w:val="72007D93"/>
    <w:rsid w:val="724251D1"/>
    <w:rsid w:val="725672F4"/>
    <w:rsid w:val="725F0F5E"/>
    <w:rsid w:val="726C71D7"/>
    <w:rsid w:val="72BB46F3"/>
    <w:rsid w:val="72E37F32"/>
    <w:rsid w:val="73191BAE"/>
    <w:rsid w:val="73297A38"/>
    <w:rsid w:val="732A152A"/>
    <w:rsid w:val="73460146"/>
    <w:rsid w:val="73463ECB"/>
    <w:rsid w:val="735179FF"/>
    <w:rsid w:val="73611B81"/>
    <w:rsid w:val="737F73DD"/>
    <w:rsid w:val="738B7B30"/>
    <w:rsid w:val="739369E5"/>
    <w:rsid w:val="73AD5B4A"/>
    <w:rsid w:val="73C44DF0"/>
    <w:rsid w:val="742E508B"/>
    <w:rsid w:val="743D5E17"/>
    <w:rsid w:val="746A30A6"/>
    <w:rsid w:val="748F14BA"/>
    <w:rsid w:val="74A818CF"/>
    <w:rsid w:val="74AC7D4F"/>
    <w:rsid w:val="74B3733F"/>
    <w:rsid w:val="750B4F95"/>
    <w:rsid w:val="75101B82"/>
    <w:rsid w:val="751678CE"/>
    <w:rsid w:val="751B43A3"/>
    <w:rsid w:val="752124FA"/>
    <w:rsid w:val="75262D7A"/>
    <w:rsid w:val="75297601"/>
    <w:rsid w:val="75410DEE"/>
    <w:rsid w:val="755102BF"/>
    <w:rsid w:val="75596138"/>
    <w:rsid w:val="756E14B8"/>
    <w:rsid w:val="76A95033"/>
    <w:rsid w:val="76C53359"/>
    <w:rsid w:val="76CC20E1"/>
    <w:rsid w:val="76F93003"/>
    <w:rsid w:val="76F95B3F"/>
    <w:rsid w:val="7755292F"/>
    <w:rsid w:val="7791148D"/>
    <w:rsid w:val="779B76C1"/>
    <w:rsid w:val="77A6318B"/>
    <w:rsid w:val="77E837A3"/>
    <w:rsid w:val="77F7217A"/>
    <w:rsid w:val="78171724"/>
    <w:rsid w:val="78194217"/>
    <w:rsid w:val="785A38F4"/>
    <w:rsid w:val="7860158C"/>
    <w:rsid w:val="786B7F63"/>
    <w:rsid w:val="788D7EA7"/>
    <w:rsid w:val="78F31A92"/>
    <w:rsid w:val="78F970D1"/>
    <w:rsid w:val="795850C6"/>
    <w:rsid w:val="79614CAF"/>
    <w:rsid w:val="79852E2A"/>
    <w:rsid w:val="79D20267"/>
    <w:rsid w:val="7A1D0F01"/>
    <w:rsid w:val="7A480ADB"/>
    <w:rsid w:val="7A505630"/>
    <w:rsid w:val="7A671F21"/>
    <w:rsid w:val="7A7B08FF"/>
    <w:rsid w:val="7AB7745D"/>
    <w:rsid w:val="7AD7154D"/>
    <w:rsid w:val="7B590514"/>
    <w:rsid w:val="7B6B0973"/>
    <w:rsid w:val="7B7470FC"/>
    <w:rsid w:val="7B7878F1"/>
    <w:rsid w:val="7B803CF3"/>
    <w:rsid w:val="7B9B28DB"/>
    <w:rsid w:val="7B9C50BE"/>
    <w:rsid w:val="7B9D2AF7"/>
    <w:rsid w:val="7BAA5A72"/>
    <w:rsid w:val="7BB72658"/>
    <w:rsid w:val="7BBA0FB3"/>
    <w:rsid w:val="7BBD4F47"/>
    <w:rsid w:val="7BE40725"/>
    <w:rsid w:val="7BF03249"/>
    <w:rsid w:val="7BFC781D"/>
    <w:rsid w:val="7C290372"/>
    <w:rsid w:val="7C3D3992"/>
    <w:rsid w:val="7C4679D1"/>
    <w:rsid w:val="7C8415C1"/>
    <w:rsid w:val="7CA557C9"/>
    <w:rsid w:val="7CC16371"/>
    <w:rsid w:val="7CEB362B"/>
    <w:rsid w:val="7D575848"/>
    <w:rsid w:val="7DA636D5"/>
    <w:rsid w:val="7E152F54"/>
    <w:rsid w:val="7E17183C"/>
    <w:rsid w:val="7E2E79B4"/>
    <w:rsid w:val="7E3C2153"/>
    <w:rsid w:val="7E4D709A"/>
    <w:rsid w:val="7E4F632A"/>
    <w:rsid w:val="7E53749D"/>
    <w:rsid w:val="7E555DFE"/>
    <w:rsid w:val="7E633B84"/>
    <w:rsid w:val="7E8D29AE"/>
    <w:rsid w:val="7EF34956"/>
    <w:rsid w:val="7F034934"/>
    <w:rsid w:val="7F1A0597"/>
    <w:rsid w:val="7F4A728E"/>
    <w:rsid w:val="7F7F6FDA"/>
    <w:rsid w:val="7F9B32C9"/>
    <w:rsid w:val="7F9D7057"/>
    <w:rsid w:val="7F9F508F"/>
    <w:rsid w:val="7FB55D4B"/>
    <w:rsid w:val="7FBD5515"/>
    <w:rsid w:val="7FE01204"/>
    <w:rsid w:val="7FE9206A"/>
    <w:rsid w:val="7FF058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1"/>
    <w:basedOn w:val="1"/>
    <w:next w:val="1"/>
    <w:autoRedefine/>
    <w:qFormat/>
    <w:uiPriority w:val="1"/>
    <w:pPr>
      <w:ind w:left="1343" w:right="746"/>
      <w:jc w:val="center"/>
      <w:outlineLvl w:val="1"/>
    </w:pPr>
    <w:rPr>
      <w:rFonts w:ascii="宋体" w:hAnsi="宋体" w:eastAsia="宋体" w:cs="宋体"/>
      <w:b/>
      <w:bCs/>
      <w:sz w:val="36"/>
      <w:szCs w:val="36"/>
    </w:rPr>
  </w:style>
  <w:style w:type="paragraph" w:styleId="3">
    <w:name w:val="heading 2"/>
    <w:basedOn w:val="1"/>
    <w:autoRedefine/>
    <w:qFormat/>
    <w:uiPriority w:val="1"/>
    <w:pPr>
      <w:spacing w:before="30"/>
      <w:ind w:left="1343" w:right="1705"/>
      <w:jc w:val="center"/>
      <w:outlineLvl w:val="2"/>
    </w:pPr>
    <w:rPr>
      <w:rFonts w:ascii="宋体" w:hAnsi="宋体" w:eastAsia="宋体" w:cs="宋体"/>
      <w:b/>
      <w:bCs/>
      <w:sz w:val="32"/>
      <w:szCs w:val="32"/>
    </w:rPr>
  </w:style>
  <w:style w:type="paragraph" w:styleId="4">
    <w:name w:val="heading 3"/>
    <w:basedOn w:val="1"/>
    <w:autoRedefine/>
    <w:qFormat/>
    <w:uiPriority w:val="1"/>
    <w:pPr>
      <w:ind w:left="220"/>
      <w:outlineLvl w:val="3"/>
    </w:pPr>
    <w:rPr>
      <w:rFonts w:ascii="宋体" w:hAnsi="宋体" w:eastAsia="宋体" w:cs="宋体"/>
      <w:b/>
      <w:bCs/>
      <w:sz w:val="24"/>
      <w:szCs w:val="24"/>
    </w:rPr>
  </w:style>
  <w:style w:type="character" w:default="1" w:styleId="20">
    <w:name w:val="Default Paragraph Font"/>
    <w:autoRedefine/>
    <w:semiHidden/>
    <w:unhideWhenUsed/>
    <w:qFormat/>
    <w:uiPriority w:val="1"/>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style>
  <w:style w:type="paragraph" w:styleId="6">
    <w:name w:val="Body Text"/>
    <w:basedOn w:val="1"/>
    <w:next w:val="1"/>
    <w:autoRedefine/>
    <w:qFormat/>
    <w:uiPriority w:val="1"/>
    <w:pPr>
      <w:ind w:left="220"/>
    </w:pPr>
    <w:rPr>
      <w:rFonts w:ascii="宋体" w:hAnsi="宋体" w:eastAsia="宋体" w:cs="宋体"/>
      <w:sz w:val="24"/>
      <w:szCs w:val="24"/>
    </w:rPr>
  </w:style>
  <w:style w:type="paragraph" w:styleId="7">
    <w:name w:val="Body Text Indent"/>
    <w:basedOn w:val="1"/>
    <w:next w:val="8"/>
    <w:qFormat/>
    <w:uiPriority w:val="0"/>
    <w:pPr>
      <w:ind w:firstLine="627"/>
    </w:pPr>
    <w:rPr>
      <w:rFonts w:ascii="Times New Roman" w:hAnsi="Times New Roman" w:eastAsia="宋体" w:cs="Times New Roman"/>
      <w:sz w:val="28"/>
    </w:rPr>
  </w:style>
  <w:style w:type="paragraph" w:styleId="8">
    <w:name w:val="envelope return"/>
    <w:basedOn w:val="1"/>
    <w:qFormat/>
    <w:uiPriority w:val="99"/>
    <w:pPr>
      <w:snapToGrid w:val="0"/>
    </w:pPr>
    <w:rPr>
      <w:rFonts w:ascii="Arial" w:hAnsi="Arial" w:cs="Arial"/>
      <w:sz w:val="24"/>
      <w:szCs w:val="24"/>
    </w:rPr>
  </w:style>
  <w:style w:type="paragraph" w:styleId="9">
    <w:name w:val="Plain Text"/>
    <w:basedOn w:val="1"/>
    <w:autoRedefine/>
    <w:qFormat/>
    <w:uiPriority w:val="0"/>
    <w:rPr>
      <w:rFonts w:ascii="宋体" w:hAnsi="Courier New"/>
    </w:rPr>
  </w:style>
  <w:style w:type="paragraph" w:styleId="10">
    <w:name w:val="endnote text"/>
    <w:basedOn w:val="1"/>
    <w:qFormat/>
    <w:uiPriority w:val="99"/>
    <w:pPr>
      <w:snapToGrid w:val="0"/>
      <w:jc w:val="left"/>
    </w:pPr>
    <w:rPr>
      <w:szCs w:val="24"/>
    </w:rPr>
  </w:style>
  <w:style w:type="paragraph" w:styleId="11">
    <w:name w:val="Balloon Text"/>
    <w:basedOn w:val="1"/>
    <w:next w:val="10"/>
    <w:qFormat/>
    <w:uiPriority w:val="0"/>
    <w:rPr>
      <w:sz w:val="18"/>
    </w:r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rPr>
  </w:style>
  <w:style w:type="paragraph" w:styleId="14">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5">
    <w:name w:val="Title"/>
    <w:basedOn w:val="1"/>
    <w:next w:val="1"/>
    <w:qFormat/>
    <w:uiPriority w:val="0"/>
    <w:pPr>
      <w:spacing w:before="240" w:after="60"/>
      <w:jc w:val="center"/>
      <w:outlineLvl w:val="0"/>
    </w:pPr>
    <w:rPr>
      <w:rFonts w:ascii="等线 Light" w:hAnsi="等线 Light"/>
      <w:b/>
      <w:bCs/>
      <w:sz w:val="32"/>
      <w:szCs w:val="32"/>
    </w:rPr>
  </w:style>
  <w:style w:type="paragraph" w:styleId="16">
    <w:name w:val="Body Text First Indent"/>
    <w:basedOn w:val="6"/>
    <w:qFormat/>
    <w:uiPriority w:val="99"/>
    <w:pPr>
      <w:spacing w:after="120"/>
      <w:ind w:firstLine="420" w:firstLineChars="100"/>
    </w:pPr>
    <w:rPr>
      <w:i/>
      <w:kern w:val="2"/>
      <w:sz w:val="24"/>
    </w:rPr>
  </w:style>
  <w:style w:type="paragraph" w:styleId="17">
    <w:name w:val="Body Text First Indent 2"/>
    <w:basedOn w:val="7"/>
    <w:next w:val="1"/>
    <w:qFormat/>
    <w:uiPriority w:val="0"/>
    <w:pPr>
      <w:spacing w:after="120"/>
      <w:ind w:left="420" w:leftChars="200" w:firstLine="210" w:firstLineChars="200"/>
    </w:pPr>
    <w:rPr>
      <w:rFonts w:ascii="Times New Roman" w:hAnsi="Times New Roman" w:eastAsia="宋体" w:cs="Times New Roman"/>
      <w:sz w:val="21"/>
      <w:szCs w:val="24"/>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1">
    <w:name w:val="Fließtext2"/>
    <w:basedOn w:val="1"/>
    <w:qFormat/>
    <w:uiPriority w:val="99"/>
    <w:pPr>
      <w:overflowPunct w:val="0"/>
      <w:autoSpaceDE w:val="0"/>
      <w:autoSpaceDN w:val="0"/>
      <w:adjustRightInd w:val="0"/>
      <w:textAlignment w:val="baseline"/>
    </w:pPr>
    <w:rPr>
      <w:kern w:val="28"/>
      <w:szCs w:val="20"/>
    </w:rPr>
  </w:style>
  <w:style w:type="paragraph" w:customStyle="1" w:styleId="22">
    <w:name w:val="Fließtext"/>
    <w:basedOn w:val="1"/>
    <w:autoRedefine/>
    <w:qFormat/>
    <w:uiPriority w:val="0"/>
    <w:pPr>
      <w:overflowPunct w:val="0"/>
      <w:autoSpaceDE w:val="0"/>
      <w:autoSpaceDN w:val="0"/>
      <w:adjustRightInd w:val="0"/>
      <w:textAlignment w:val="baseline"/>
    </w:pPr>
    <w:rPr>
      <w:kern w:val="28"/>
      <w:szCs w:val="20"/>
    </w:rPr>
  </w:style>
  <w:style w:type="table" w:customStyle="1" w:styleId="23">
    <w:name w:val="Table Normal"/>
    <w:autoRedefine/>
    <w:semiHidden/>
    <w:unhideWhenUsed/>
    <w:qFormat/>
    <w:uiPriority w:val="2"/>
    <w:tblPr>
      <w:tblCellMar>
        <w:top w:w="0" w:type="dxa"/>
        <w:left w:w="0" w:type="dxa"/>
        <w:bottom w:w="0" w:type="dxa"/>
        <w:right w:w="0" w:type="dxa"/>
      </w:tblCellMar>
    </w:tblPr>
  </w:style>
  <w:style w:type="paragraph" w:styleId="24">
    <w:name w:val="List Paragraph"/>
    <w:basedOn w:val="1"/>
    <w:autoRedefine/>
    <w:qFormat/>
    <w:uiPriority w:val="1"/>
    <w:pPr>
      <w:ind w:left="220" w:firstLine="480"/>
    </w:pPr>
    <w:rPr>
      <w:rFonts w:ascii="宋体" w:hAnsi="宋体" w:eastAsia="宋体" w:cs="宋体"/>
    </w:rPr>
  </w:style>
  <w:style w:type="paragraph" w:customStyle="1" w:styleId="25">
    <w:name w:val="Table Paragraph"/>
    <w:basedOn w:val="1"/>
    <w:autoRedefine/>
    <w:qFormat/>
    <w:uiPriority w:val="1"/>
    <w:rPr>
      <w:rFonts w:ascii="宋体" w:hAnsi="宋体" w:eastAsia="宋体" w:cs="宋体"/>
    </w:rPr>
  </w:style>
  <w:style w:type="paragraph" w:customStyle="1" w:styleId="26">
    <w:name w:val="null3"/>
    <w:autoRedefine/>
    <w:hidden/>
    <w:qFormat/>
    <w:uiPriority w:val="0"/>
    <w:rPr>
      <w:rFonts w:hint="eastAsia" w:asciiTheme="minorHAnsi" w:hAnsiTheme="minorHAnsi" w:eastAsiaTheme="minorEastAsia" w:cstheme="minorBidi"/>
      <w:lang w:val="en-US" w:eastAsia="zh-Hans"/>
    </w:rPr>
  </w:style>
  <w:style w:type="character" w:customStyle="1" w:styleId="27">
    <w:name w:val="17"/>
    <w:basedOn w:val="20"/>
    <w:qFormat/>
    <w:uiPriority w:val="0"/>
    <w:rPr>
      <w:rFonts w:hint="default" w:ascii="Calibri" w:hAnsi="Calibri"/>
      <w:color w:val="000000"/>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103</Pages>
  <Words>15001</Words>
  <Characters>15481</Characters>
  <TotalTime>0</TotalTime>
  <ScaleCrop>false</ScaleCrop>
  <LinksUpToDate>false</LinksUpToDate>
  <CharactersWithSpaces>15651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2024-04-30T16:48:00Z</dcterms:created>
  <dc:creator>五块钱</dc:creator>
  <cp:lastModifiedBy>Administrator</cp:lastModifiedBy>
  <dcterms:modified xsi:type="dcterms:W3CDTF">2024-12-27T10:07:23Z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2024-04-22T00:00:00Z</vt:filetime>
  </property>
  <property fmtid="{D5CDD505-2E9C-101B-9397-08002B2CF9AE}" pid="3" name="Creator">
    <vt:lpwstr>WPS 文字</vt:lpwstr>
  </property>
  <property fmtid="{D5CDD505-2E9C-101B-9397-08002B2CF9AE}" pid="4" name="LastSaved">
    <vt:filetime>2024-04-30T00:00:00Z</vt:filetime>
  </property>
  <property fmtid="{D5CDD505-2E9C-101B-9397-08002B2CF9AE}" pid="5" name="KSOProductBuildVer">
    <vt:lpwstr>2052-12.1.0.19302</vt:lpwstr>
  </property>
  <property fmtid="{D5CDD505-2E9C-101B-9397-08002B2CF9AE}" pid="6" name="ICV">
    <vt:lpwstr>D4A2AA9F817342EAAF9ABDBA8FB64D0D_13</vt:lpwstr>
  </property>
  <property fmtid="{D5CDD505-2E9C-101B-9397-08002B2CF9AE}" pid="7" name="KSOTemplateDocerSaveRecord">
    <vt:lpwstr>eyJoZGlkIjoiNDNlODZlNGRjZjcxNGYxYzcyNTJkNDU5Y2I4NTE5OWQifQ==</vt:lpwstr>
  </property>
</Properties>
</file>