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BF898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360" w:lineRule="auto"/>
        <w:ind w:left="376" w:right="376"/>
        <w:jc w:val="center"/>
        <w:textAlignment w:val="auto"/>
        <w:rPr>
          <w:rFonts w:hint="eastAsia" w:ascii="宋体" w:hAnsi="宋体" w:eastAsia="宋体" w:cs="宋体"/>
          <w:color w:val="auto"/>
          <w:sz w:val="39"/>
          <w:szCs w:val="39"/>
          <w:highlight w:val="none"/>
        </w:rPr>
      </w:pPr>
      <w:bookmarkStart w:id="0" w:name="_GoBack"/>
      <w:r>
        <w:rPr>
          <w:rFonts w:hint="eastAsia" w:ascii="宋体" w:hAnsi="宋体" w:eastAsia="宋体" w:cs="宋体"/>
          <w:i w:val="0"/>
          <w:iCs w:val="0"/>
          <w:caps w:val="0"/>
          <w:color w:val="auto"/>
          <w:spacing w:val="0"/>
          <w:sz w:val="39"/>
          <w:szCs w:val="39"/>
          <w:highlight w:val="none"/>
          <w:shd w:val="clear" w:color="auto" w:fill="FFFFFF"/>
        </w:rPr>
        <w:t>招标内容及要求</w:t>
      </w:r>
    </w:p>
    <w:p w14:paraId="293D11B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360" w:lineRule="auto"/>
        <w:ind w:left="376" w:right="376"/>
        <w:jc w:val="both"/>
        <w:textAlignment w:val="auto"/>
        <w:rPr>
          <w:rFonts w:hint="eastAsia" w:ascii="宋体" w:hAnsi="宋体" w:eastAsia="宋体" w:cs="宋体"/>
          <w:color w:val="auto"/>
          <w:sz w:val="21"/>
          <w:szCs w:val="21"/>
          <w:highlight w:val="none"/>
        </w:rPr>
      </w:pPr>
      <w:r>
        <w:rPr>
          <w:rFonts w:hint="eastAsia" w:ascii="宋体" w:hAnsi="宋体" w:eastAsia="宋体" w:cs="宋体"/>
          <w:i w:val="0"/>
          <w:iCs w:val="0"/>
          <w:caps w:val="0"/>
          <w:color w:val="auto"/>
          <w:spacing w:val="0"/>
          <w:sz w:val="21"/>
          <w:szCs w:val="21"/>
          <w:highlight w:val="none"/>
          <w:shd w:val="clear" w:color="auto" w:fill="FFFFFF"/>
        </w:rPr>
        <w:t>一、项目概况（采购标的）</w:t>
      </w:r>
    </w:p>
    <w:p w14:paraId="2866F8FE">
      <w:pPr>
        <w:pStyle w:val="6"/>
        <w:ind w:firstLine="480"/>
        <w:jc w:val="both"/>
        <w:rPr>
          <w:color w:val="auto"/>
          <w:sz w:val="21"/>
          <w:szCs w:val="21"/>
          <w:highlight w:val="none"/>
        </w:rPr>
      </w:pPr>
      <w:r>
        <w:rPr>
          <w:rFonts w:ascii="Calibri" w:hAnsi="Calibri" w:eastAsia="Calibri" w:cs="Calibri"/>
          <w:color w:val="auto"/>
          <w:sz w:val="21"/>
          <w:szCs w:val="21"/>
          <w:highlight w:val="none"/>
        </w:rPr>
        <w:t>1.</w:t>
      </w:r>
      <w:r>
        <w:rPr>
          <w:rFonts w:ascii="宋体" w:hAnsi="宋体" w:eastAsia="宋体" w:cs="宋体"/>
          <w:color w:val="auto"/>
          <w:sz w:val="21"/>
          <w:szCs w:val="21"/>
          <w:highlight w:val="none"/>
        </w:rPr>
        <w:t>采购标的</w:t>
      </w:r>
    </w:p>
    <w:tbl>
      <w:tblPr>
        <w:tblStyle w:val="4"/>
        <w:tblW w:w="9776" w:type="dxa"/>
        <w:tblInd w:w="15"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fixed"/>
        <w:tblCellMar>
          <w:top w:w="0" w:type="dxa"/>
          <w:left w:w="108" w:type="dxa"/>
          <w:bottom w:w="0" w:type="dxa"/>
          <w:right w:w="108" w:type="dxa"/>
        </w:tblCellMar>
      </w:tblPr>
      <w:tblGrid>
        <w:gridCol w:w="811"/>
        <w:gridCol w:w="811"/>
        <w:gridCol w:w="1516"/>
        <w:gridCol w:w="1125"/>
        <w:gridCol w:w="1907"/>
        <w:gridCol w:w="1141"/>
        <w:gridCol w:w="2465"/>
      </w:tblGrid>
      <w:tr w14:paraId="174252D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733" w:hRule="atLeast"/>
        </w:trPr>
        <w:tc>
          <w:tcPr>
            <w:tcW w:w="811" w:type="dxa"/>
            <w:tcBorders>
              <w:top w:val="single" w:color="000000" w:sz="4" w:space="0"/>
              <w:left w:val="single" w:color="000000" w:sz="4" w:space="0"/>
              <w:bottom w:val="single" w:color="000000" w:sz="4" w:space="0"/>
              <w:right w:val="single" w:color="000000" w:sz="4" w:space="0"/>
            </w:tcBorders>
            <w:shd w:val="clear" w:color="auto" w:fill="FFFFFF"/>
            <w:noWrap w:val="0"/>
            <w:tcMar>
              <w:top w:w="0" w:type="dxa"/>
              <w:left w:w="105" w:type="dxa"/>
              <w:bottom w:w="0" w:type="dxa"/>
              <w:right w:w="105" w:type="dxa"/>
            </w:tcMar>
            <w:vAlign w:val="center"/>
          </w:tcPr>
          <w:p w14:paraId="028CFB8C">
            <w:pPr>
              <w:pStyle w:val="6"/>
              <w:keepNext w:val="0"/>
              <w:keepLines w:val="0"/>
              <w:pageBreakBefore w:val="0"/>
              <w:widowControl/>
              <w:kinsoku/>
              <w:wordWrap/>
              <w:overflowPunct/>
              <w:topLinePunct w:val="0"/>
              <w:autoSpaceDE/>
              <w:autoSpaceDN/>
              <w:bidi w:val="0"/>
              <w:adjustRightInd/>
              <w:snapToGrid/>
              <w:ind w:firstLine="0"/>
              <w:jc w:val="center"/>
              <w:textAlignment w:val="auto"/>
              <w:rPr>
                <w:color w:val="auto"/>
                <w:sz w:val="21"/>
                <w:szCs w:val="21"/>
                <w:highlight w:val="none"/>
              </w:rPr>
            </w:pPr>
            <w:r>
              <w:rPr>
                <w:rFonts w:ascii="宋体" w:hAnsi="宋体" w:eastAsia="宋体" w:cs="宋体"/>
                <w:color w:val="auto"/>
                <w:sz w:val="21"/>
                <w:szCs w:val="21"/>
                <w:highlight w:val="none"/>
              </w:rPr>
              <w:t>合同包</w:t>
            </w:r>
          </w:p>
        </w:tc>
        <w:tc>
          <w:tcPr>
            <w:tcW w:w="811" w:type="dxa"/>
            <w:tcBorders>
              <w:top w:val="single" w:color="000000" w:sz="4" w:space="0"/>
              <w:left w:val="nil"/>
              <w:bottom w:val="single" w:color="000000" w:sz="4" w:space="0"/>
              <w:right w:val="single" w:color="000000" w:sz="4" w:space="0"/>
            </w:tcBorders>
            <w:shd w:val="clear" w:color="auto" w:fill="FFFFFF"/>
            <w:noWrap w:val="0"/>
            <w:tcMar>
              <w:top w:w="0" w:type="dxa"/>
              <w:left w:w="105" w:type="dxa"/>
              <w:bottom w:w="0" w:type="dxa"/>
              <w:right w:w="105" w:type="dxa"/>
            </w:tcMar>
            <w:vAlign w:val="center"/>
          </w:tcPr>
          <w:p w14:paraId="073ACD5C">
            <w:pPr>
              <w:pStyle w:val="6"/>
              <w:keepNext w:val="0"/>
              <w:keepLines w:val="0"/>
              <w:pageBreakBefore w:val="0"/>
              <w:widowControl/>
              <w:kinsoku/>
              <w:wordWrap/>
              <w:overflowPunct/>
              <w:topLinePunct w:val="0"/>
              <w:autoSpaceDE/>
              <w:autoSpaceDN/>
              <w:bidi w:val="0"/>
              <w:adjustRightInd/>
              <w:snapToGrid/>
              <w:ind w:firstLine="0"/>
              <w:jc w:val="center"/>
              <w:textAlignment w:val="auto"/>
              <w:rPr>
                <w:color w:val="auto"/>
                <w:sz w:val="21"/>
                <w:szCs w:val="21"/>
                <w:highlight w:val="none"/>
              </w:rPr>
            </w:pPr>
            <w:r>
              <w:rPr>
                <w:rFonts w:ascii="宋体" w:hAnsi="宋体" w:eastAsia="宋体" w:cs="宋体"/>
                <w:color w:val="auto"/>
                <w:sz w:val="21"/>
                <w:szCs w:val="21"/>
                <w:highlight w:val="none"/>
              </w:rPr>
              <w:t>品目号</w:t>
            </w:r>
          </w:p>
        </w:tc>
        <w:tc>
          <w:tcPr>
            <w:tcW w:w="1516" w:type="dxa"/>
            <w:tcBorders>
              <w:top w:val="single" w:color="000000" w:sz="4" w:space="0"/>
              <w:left w:val="nil"/>
              <w:bottom w:val="single" w:color="000000" w:sz="4" w:space="0"/>
              <w:right w:val="single" w:color="000000" w:sz="4" w:space="0"/>
            </w:tcBorders>
            <w:shd w:val="clear" w:color="auto" w:fill="FFFFFF"/>
            <w:noWrap w:val="0"/>
            <w:tcMar>
              <w:top w:w="0" w:type="dxa"/>
              <w:left w:w="105" w:type="dxa"/>
              <w:bottom w:w="0" w:type="dxa"/>
              <w:right w:w="105" w:type="dxa"/>
            </w:tcMar>
            <w:vAlign w:val="center"/>
          </w:tcPr>
          <w:p w14:paraId="3F825725">
            <w:pPr>
              <w:pStyle w:val="6"/>
              <w:keepNext w:val="0"/>
              <w:keepLines w:val="0"/>
              <w:pageBreakBefore w:val="0"/>
              <w:widowControl/>
              <w:kinsoku/>
              <w:wordWrap/>
              <w:overflowPunct/>
              <w:topLinePunct w:val="0"/>
              <w:autoSpaceDE/>
              <w:autoSpaceDN/>
              <w:bidi w:val="0"/>
              <w:adjustRightInd/>
              <w:snapToGrid/>
              <w:ind w:firstLine="0"/>
              <w:jc w:val="center"/>
              <w:textAlignment w:val="auto"/>
              <w:rPr>
                <w:rFonts w:ascii="宋体" w:hAnsi="宋体" w:eastAsia="宋体" w:cs="宋体"/>
                <w:color w:val="auto"/>
                <w:sz w:val="21"/>
                <w:szCs w:val="21"/>
                <w:highlight w:val="none"/>
              </w:rPr>
            </w:pPr>
            <w:r>
              <w:rPr>
                <w:rFonts w:ascii="宋体" w:hAnsi="宋体" w:eastAsia="宋体" w:cs="宋体"/>
                <w:color w:val="auto"/>
                <w:sz w:val="21"/>
                <w:szCs w:val="21"/>
                <w:highlight w:val="none"/>
              </w:rPr>
              <w:t>项目</w:t>
            </w:r>
          </w:p>
          <w:p w14:paraId="0ACC4356">
            <w:pPr>
              <w:pStyle w:val="6"/>
              <w:keepNext w:val="0"/>
              <w:keepLines w:val="0"/>
              <w:pageBreakBefore w:val="0"/>
              <w:widowControl/>
              <w:kinsoku/>
              <w:wordWrap/>
              <w:overflowPunct/>
              <w:topLinePunct w:val="0"/>
              <w:autoSpaceDE/>
              <w:autoSpaceDN/>
              <w:bidi w:val="0"/>
              <w:adjustRightInd/>
              <w:snapToGrid/>
              <w:ind w:firstLine="0"/>
              <w:jc w:val="center"/>
              <w:textAlignment w:val="auto"/>
              <w:rPr>
                <w:color w:val="auto"/>
                <w:sz w:val="21"/>
                <w:szCs w:val="21"/>
                <w:highlight w:val="none"/>
              </w:rPr>
            </w:pPr>
            <w:r>
              <w:rPr>
                <w:rFonts w:ascii="宋体" w:hAnsi="宋体" w:eastAsia="宋体" w:cs="宋体"/>
                <w:color w:val="auto"/>
                <w:sz w:val="21"/>
                <w:szCs w:val="21"/>
                <w:highlight w:val="none"/>
              </w:rPr>
              <w:t>名称</w:t>
            </w:r>
          </w:p>
        </w:tc>
        <w:tc>
          <w:tcPr>
            <w:tcW w:w="1125" w:type="dxa"/>
            <w:tcBorders>
              <w:top w:val="single" w:color="000000" w:sz="4" w:space="0"/>
              <w:left w:val="nil"/>
              <w:bottom w:val="single" w:color="000000" w:sz="4" w:space="0"/>
              <w:right w:val="single" w:color="000000" w:sz="4" w:space="0"/>
            </w:tcBorders>
            <w:shd w:val="clear" w:color="auto" w:fill="FFFFFF"/>
            <w:noWrap w:val="0"/>
            <w:tcMar>
              <w:top w:w="0" w:type="dxa"/>
              <w:left w:w="105" w:type="dxa"/>
              <w:bottom w:w="0" w:type="dxa"/>
              <w:right w:w="105" w:type="dxa"/>
            </w:tcMar>
            <w:vAlign w:val="center"/>
          </w:tcPr>
          <w:p w14:paraId="28026A29">
            <w:pPr>
              <w:pStyle w:val="6"/>
              <w:keepNext w:val="0"/>
              <w:keepLines w:val="0"/>
              <w:pageBreakBefore w:val="0"/>
              <w:widowControl/>
              <w:kinsoku/>
              <w:wordWrap/>
              <w:overflowPunct/>
              <w:topLinePunct w:val="0"/>
              <w:autoSpaceDE/>
              <w:autoSpaceDN/>
              <w:bidi w:val="0"/>
              <w:adjustRightInd/>
              <w:snapToGrid/>
              <w:ind w:firstLine="0"/>
              <w:jc w:val="center"/>
              <w:textAlignment w:val="auto"/>
              <w:rPr>
                <w:color w:val="auto"/>
                <w:sz w:val="21"/>
                <w:szCs w:val="21"/>
                <w:highlight w:val="none"/>
              </w:rPr>
            </w:pPr>
            <w:r>
              <w:rPr>
                <w:rFonts w:ascii="宋体" w:hAnsi="宋体" w:eastAsia="宋体" w:cs="宋体"/>
                <w:color w:val="auto"/>
                <w:sz w:val="21"/>
                <w:szCs w:val="21"/>
                <w:highlight w:val="none"/>
              </w:rPr>
              <w:t>数量</w:t>
            </w:r>
          </w:p>
        </w:tc>
        <w:tc>
          <w:tcPr>
            <w:tcW w:w="1907" w:type="dxa"/>
            <w:tcBorders>
              <w:top w:val="single" w:color="000000" w:sz="4" w:space="0"/>
              <w:left w:val="nil"/>
              <w:bottom w:val="single" w:color="000000" w:sz="4" w:space="0"/>
              <w:right w:val="single" w:color="000000" w:sz="4" w:space="0"/>
            </w:tcBorders>
            <w:shd w:val="clear" w:color="auto" w:fill="FFFFFF"/>
            <w:noWrap w:val="0"/>
            <w:tcMar>
              <w:top w:w="0" w:type="dxa"/>
              <w:left w:w="105" w:type="dxa"/>
              <w:bottom w:w="0" w:type="dxa"/>
              <w:right w:w="105" w:type="dxa"/>
            </w:tcMar>
            <w:vAlign w:val="center"/>
          </w:tcPr>
          <w:p w14:paraId="02CA013B">
            <w:pPr>
              <w:pStyle w:val="6"/>
              <w:keepNext w:val="0"/>
              <w:keepLines w:val="0"/>
              <w:pageBreakBefore w:val="0"/>
              <w:widowControl/>
              <w:kinsoku/>
              <w:wordWrap/>
              <w:overflowPunct/>
              <w:topLinePunct w:val="0"/>
              <w:autoSpaceDE/>
              <w:autoSpaceDN/>
              <w:bidi w:val="0"/>
              <w:adjustRightInd/>
              <w:snapToGrid/>
              <w:ind w:firstLine="0"/>
              <w:jc w:val="center"/>
              <w:textAlignment w:val="auto"/>
              <w:rPr>
                <w:color w:val="auto"/>
                <w:sz w:val="21"/>
                <w:szCs w:val="21"/>
                <w:highlight w:val="none"/>
              </w:rPr>
            </w:pPr>
            <w:r>
              <w:rPr>
                <w:rFonts w:ascii="宋体" w:hAnsi="宋体" w:eastAsia="宋体" w:cs="宋体"/>
                <w:color w:val="auto"/>
                <w:sz w:val="21"/>
                <w:szCs w:val="21"/>
                <w:highlight w:val="none"/>
              </w:rPr>
              <w:t>品目号预算（元）</w:t>
            </w:r>
          </w:p>
        </w:tc>
        <w:tc>
          <w:tcPr>
            <w:tcW w:w="1141" w:type="dxa"/>
            <w:tcBorders>
              <w:top w:val="single" w:color="000000" w:sz="4" w:space="0"/>
              <w:left w:val="nil"/>
              <w:bottom w:val="single" w:color="000000" w:sz="4" w:space="0"/>
              <w:right w:val="single" w:color="000000" w:sz="4" w:space="0"/>
            </w:tcBorders>
            <w:shd w:val="clear" w:color="auto" w:fill="FFFFFF"/>
            <w:noWrap w:val="0"/>
            <w:tcMar>
              <w:top w:w="0" w:type="dxa"/>
              <w:left w:w="105" w:type="dxa"/>
              <w:bottom w:w="0" w:type="dxa"/>
              <w:right w:w="105" w:type="dxa"/>
            </w:tcMar>
            <w:vAlign w:val="center"/>
          </w:tcPr>
          <w:p w14:paraId="4908EB91">
            <w:pPr>
              <w:pStyle w:val="6"/>
              <w:keepNext w:val="0"/>
              <w:keepLines w:val="0"/>
              <w:pageBreakBefore w:val="0"/>
              <w:widowControl/>
              <w:kinsoku/>
              <w:wordWrap/>
              <w:overflowPunct/>
              <w:topLinePunct w:val="0"/>
              <w:autoSpaceDE/>
              <w:autoSpaceDN/>
              <w:bidi w:val="0"/>
              <w:adjustRightInd/>
              <w:snapToGrid/>
              <w:ind w:firstLine="0"/>
              <w:jc w:val="center"/>
              <w:textAlignment w:val="auto"/>
              <w:rPr>
                <w:rFonts w:ascii="宋体" w:hAnsi="宋体" w:eastAsia="宋体" w:cs="宋体"/>
                <w:color w:val="auto"/>
                <w:sz w:val="21"/>
                <w:szCs w:val="21"/>
                <w:highlight w:val="none"/>
              </w:rPr>
            </w:pPr>
            <w:r>
              <w:rPr>
                <w:rFonts w:ascii="宋体" w:hAnsi="宋体" w:eastAsia="宋体" w:cs="宋体"/>
                <w:color w:val="auto"/>
                <w:sz w:val="21"/>
                <w:szCs w:val="21"/>
                <w:highlight w:val="none"/>
              </w:rPr>
              <w:t>服务</w:t>
            </w:r>
          </w:p>
          <w:p w14:paraId="120E0967">
            <w:pPr>
              <w:pStyle w:val="6"/>
              <w:keepNext w:val="0"/>
              <w:keepLines w:val="0"/>
              <w:pageBreakBefore w:val="0"/>
              <w:widowControl/>
              <w:kinsoku/>
              <w:wordWrap/>
              <w:overflowPunct/>
              <w:topLinePunct w:val="0"/>
              <w:autoSpaceDE/>
              <w:autoSpaceDN/>
              <w:bidi w:val="0"/>
              <w:adjustRightInd/>
              <w:snapToGrid/>
              <w:ind w:firstLine="0"/>
              <w:jc w:val="center"/>
              <w:textAlignment w:val="auto"/>
              <w:rPr>
                <w:color w:val="auto"/>
                <w:sz w:val="21"/>
                <w:szCs w:val="21"/>
                <w:highlight w:val="none"/>
              </w:rPr>
            </w:pPr>
            <w:r>
              <w:rPr>
                <w:rFonts w:ascii="宋体" w:hAnsi="宋体" w:eastAsia="宋体" w:cs="宋体"/>
                <w:color w:val="auto"/>
                <w:sz w:val="21"/>
                <w:szCs w:val="21"/>
                <w:highlight w:val="none"/>
              </w:rPr>
              <w:t>期限</w:t>
            </w:r>
          </w:p>
        </w:tc>
        <w:tc>
          <w:tcPr>
            <w:tcW w:w="2465" w:type="dxa"/>
            <w:tcBorders>
              <w:top w:val="single" w:color="000000" w:sz="4" w:space="0"/>
              <w:left w:val="nil"/>
              <w:bottom w:val="single" w:color="000000" w:sz="4" w:space="0"/>
              <w:right w:val="single" w:color="000000" w:sz="4" w:space="0"/>
            </w:tcBorders>
            <w:shd w:val="clear" w:color="auto" w:fill="FFFFFF"/>
            <w:noWrap w:val="0"/>
            <w:tcMar>
              <w:top w:w="0" w:type="dxa"/>
              <w:left w:w="105" w:type="dxa"/>
              <w:bottom w:w="0" w:type="dxa"/>
              <w:right w:w="105" w:type="dxa"/>
            </w:tcMar>
            <w:vAlign w:val="center"/>
          </w:tcPr>
          <w:p w14:paraId="7BE68077">
            <w:pPr>
              <w:pStyle w:val="6"/>
              <w:keepNext w:val="0"/>
              <w:keepLines w:val="0"/>
              <w:pageBreakBefore w:val="0"/>
              <w:widowControl/>
              <w:kinsoku/>
              <w:wordWrap/>
              <w:overflowPunct/>
              <w:topLinePunct w:val="0"/>
              <w:autoSpaceDE/>
              <w:autoSpaceDN/>
              <w:bidi w:val="0"/>
              <w:adjustRightInd/>
              <w:snapToGrid/>
              <w:ind w:firstLine="0"/>
              <w:jc w:val="center"/>
              <w:textAlignment w:val="auto"/>
              <w:rPr>
                <w:color w:val="auto"/>
                <w:sz w:val="21"/>
                <w:szCs w:val="21"/>
                <w:highlight w:val="none"/>
              </w:rPr>
            </w:pPr>
            <w:r>
              <w:rPr>
                <w:rFonts w:ascii="宋体" w:hAnsi="宋体" w:eastAsia="宋体" w:cs="宋体"/>
                <w:color w:val="auto"/>
                <w:sz w:val="21"/>
                <w:szCs w:val="21"/>
                <w:highlight w:val="none"/>
              </w:rPr>
              <w:t>合同包预算（元）</w:t>
            </w:r>
          </w:p>
        </w:tc>
      </w:tr>
      <w:tr w14:paraId="3E2D7E9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733" w:hRule="atLeast"/>
        </w:trPr>
        <w:tc>
          <w:tcPr>
            <w:tcW w:w="811" w:type="dxa"/>
            <w:vMerge w:val="restart"/>
            <w:tcBorders>
              <w:top w:val="nil"/>
              <w:left w:val="single" w:color="000000" w:sz="4" w:space="0"/>
              <w:bottom w:val="single" w:color="000000" w:sz="4" w:space="0"/>
              <w:right w:val="single" w:color="000000" w:sz="4" w:space="0"/>
            </w:tcBorders>
            <w:shd w:val="clear" w:color="auto" w:fill="FFFFFF"/>
            <w:noWrap w:val="0"/>
            <w:tcMar>
              <w:top w:w="0" w:type="dxa"/>
              <w:left w:w="105" w:type="dxa"/>
              <w:bottom w:w="0" w:type="dxa"/>
              <w:right w:w="105" w:type="dxa"/>
            </w:tcMar>
            <w:vAlign w:val="center"/>
          </w:tcPr>
          <w:p w14:paraId="714264CB">
            <w:pPr>
              <w:pStyle w:val="6"/>
              <w:keepNext w:val="0"/>
              <w:keepLines w:val="0"/>
              <w:pageBreakBefore w:val="0"/>
              <w:kinsoku/>
              <w:wordWrap/>
              <w:overflowPunct/>
              <w:topLinePunct w:val="0"/>
              <w:autoSpaceDE/>
              <w:autoSpaceDN/>
              <w:bidi w:val="0"/>
              <w:adjustRightInd/>
              <w:snapToGrid/>
              <w:ind w:firstLine="0"/>
              <w:jc w:val="center"/>
              <w:textAlignment w:val="auto"/>
              <w:rPr>
                <w:color w:val="auto"/>
                <w:sz w:val="21"/>
                <w:szCs w:val="21"/>
                <w:highlight w:val="none"/>
              </w:rPr>
            </w:pPr>
            <w:r>
              <w:rPr>
                <w:rFonts w:ascii="宋体" w:hAnsi="宋体" w:eastAsia="宋体" w:cs="宋体"/>
                <w:color w:val="auto"/>
                <w:sz w:val="21"/>
                <w:szCs w:val="21"/>
                <w:highlight w:val="none"/>
              </w:rPr>
              <w:t>1</w:t>
            </w:r>
          </w:p>
        </w:tc>
        <w:tc>
          <w:tcPr>
            <w:tcW w:w="811" w:type="dxa"/>
            <w:tcBorders>
              <w:top w:val="nil"/>
              <w:left w:val="nil"/>
              <w:bottom w:val="single" w:color="000000" w:sz="4" w:space="0"/>
              <w:right w:val="single" w:color="000000" w:sz="4" w:space="0"/>
            </w:tcBorders>
            <w:shd w:val="clear" w:color="auto" w:fill="FFFFFF"/>
            <w:noWrap w:val="0"/>
            <w:tcMar>
              <w:top w:w="0" w:type="dxa"/>
              <w:left w:w="105" w:type="dxa"/>
              <w:bottom w:w="0" w:type="dxa"/>
              <w:right w:w="105" w:type="dxa"/>
            </w:tcMar>
            <w:vAlign w:val="center"/>
          </w:tcPr>
          <w:p w14:paraId="22D92F89">
            <w:pPr>
              <w:pStyle w:val="6"/>
              <w:keepNext w:val="0"/>
              <w:keepLines w:val="0"/>
              <w:pageBreakBefore w:val="0"/>
              <w:kinsoku/>
              <w:wordWrap/>
              <w:overflowPunct/>
              <w:topLinePunct w:val="0"/>
              <w:autoSpaceDE/>
              <w:autoSpaceDN/>
              <w:bidi w:val="0"/>
              <w:adjustRightInd/>
              <w:snapToGrid/>
              <w:ind w:firstLine="0"/>
              <w:jc w:val="center"/>
              <w:textAlignment w:val="auto"/>
              <w:rPr>
                <w:color w:val="auto"/>
                <w:sz w:val="21"/>
                <w:szCs w:val="21"/>
                <w:highlight w:val="none"/>
              </w:rPr>
            </w:pPr>
            <w:r>
              <w:rPr>
                <w:rFonts w:ascii="宋体" w:hAnsi="宋体" w:eastAsia="宋体" w:cs="宋体"/>
                <w:color w:val="auto"/>
                <w:sz w:val="21"/>
                <w:szCs w:val="21"/>
                <w:highlight w:val="none"/>
              </w:rPr>
              <w:t>1-1</w:t>
            </w:r>
          </w:p>
        </w:tc>
        <w:tc>
          <w:tcPr>
            <w:tcW w:w="1516" w:type="dxa"/>
            <w:tcBorders>
              <w:top w:val="nil"/>
              <w:left w:val="nil"/>
              <w:bottom w:val="single" w:color="000000" w:sz="4" w:space="0"/>
              <w:right w:val="single" w:color="000000" w:sz="4" w:space="0"/>
            </w:tcBorders>
            <w:shd w:val="clear" w:color="auto" w:fill="FFFFFF"/>
            <w:noWrap w:val="0"/>
            <w:tcMar>
              <w:top w:w="0" w:type="dxa"/>
              <w:left w:w="105" w:type="dxa"/>
              <w:bottom w:w="0" w:type="dxa"/>
              <w:right w:w="105" w:type="dxa"/>
            </w:tcMar>
            <w:vAlign w:val="center"/>
          </w:tcPr>
          <w:p w14:paraId="7C2C4BAD">
            <w:pPr>
              <w:pStyle w:val="6"/>
              <w:keepNext w:val="0"/>
              <w:keepLines w:val="0"/>
              <w:pageBreakBefore w:val="0"/>
              <w:kinsoku/>
              <w:wordWrap/>
              <w:overflowPunct/>
              <w:topLinePunct w:val="0"/>
              <w:autoSpaceDE/>
              <w:autoSpaceDN/>
              <w:bidi w:val="0"/>
              <w:adjustRightInd/>
              <w:snapToGrid/>
              <w:ind w:firstLine="0"/>
              <w:jc w:val="center"/>
              <w:textAlignment w:val="auto"/>
              <w:rPr>
                <w:color w:val="auto"/>
                <w:sz w:val="21"/>
                <w:szCs w:val="21"/>
                <w:highlight w:val="none"/>
              </w:rPr>
            </w:pPr>
            <w:r>
              <w:rPr>
                <w:rFonts w:ascii="宋体" w:hAnsi="宋体" w:eastAsia="宋体" w:cs="宋体"/>
                <w:color w:val="auto"/>
                <w:sz w:val="21"/>
                <w:szCs w:val="21"/>
                <w:highlight w:val="none"/>
              </w:rPr>
              <w:t>计生家庭意外伤害保险</w:t>
            </w:r>
          </w:p>
        </w:tc>
        <w:tc>
          <w:tcPr>
            <w:tcW w:w="1125" w:type="dxa"/>
            <w:tcBorders>
              <w:top w:val="nil"/>
              <w:left w:val="nil"/>
              <w:bottom w:val="single" w:color="000000" w:sz="4" w:space="0"/>
              <w:right w:val="single" w:color="000000" w:sz="4" w:space="0"/>
            </w:tcBorders>
            <w:shd w:val="clear" w:color="auto" w:fill="FFFFFF"/>
            <w:noWrap w:val="0"/>
            <w:tcMar>
              <w:top w:w="0" w:type="dxa"/>
              <w:left w:w="105" w:type="dxa"/>
              <w:bottom w:w="0" w:type="dxa"/>
              <w:right w:w="105" w:type="dxa"/>
            </w:tcMar>
            <w:vAlign w:val="center"/>
          </w:tcPr>
          <w:p w14:paraId="28B903C3">
            <w:pPr>
              <w:pStyle w:val="6"/>
              <w:keepNext w:val="0"/>
              <w:keepLines w:val="0"/>
              <w:pageBreakBefore w:val="0"/>
              <w:kinsoku/>
              <w:wordWrap/>
              <w:overflowPunct/>
              <w:topLinePunct w:val="0"/>
              <w:autoSpaceDE/>
              <w:autoSpaceDN/>
              <w:bidi w:val="0"/>
              <w:adjustRightInd/>
              <w:snapToGrid/>
              <w:ind w:firstLine="0"/>
              <w:jc w:val="center"/>
              <w:textAlignment w:val="auto"/>
              <w:rPr>
                <w:color w:val="auto"/>
                <w:sz w:val="21"/>
                <w:szCs w:val="21"/>
                <w:highlight w:val="none"/>
              </w:rPr>
            </w:pPr>
            <w:r>
              <w:rPr>
                <w:rFonts w:hint="eastAsia" w:ascii="宋体" w:hAnsi="宋体" w:eastAsia="宋体" w:cs="宋体"/>
                <w:color w:val="auto"/>
                <w:sz w:val="21"/>
                <w:szCs w:val="21"/>
                <w:highlight w:val="none"/>
                <w:lang w:val="en-US" w:eastAsia="zh-CN"/>
              </w:rPr>
              <w:t>21550</w:t>
            </w:r>
            <w:r>
              <w:rPr>
                <w:rFonts w:ascii="宋体" w:hAnsi="宋体" w:eastAsia="宋体" w:cs="宋体"/>
                <w:color w:val="auto"/>
                <w:sz w:val="21"/>
                <w:szCs w:val="21"/>
                <w:highlight w:val="none"/>
              </w:rPr>
              <w:t>户</w:t>
            </w:r>
          </w:p>
        </w:tc>
        <w:tc>
          <w:tcPr>
            <w:tcW w:w="1907" w:type="dxa"/>
            <w:tcBorders>
              <w:top w:val="nil"/>
              <w:left w:val="nil"/>
              <w:bottom w:val="single" w:color="000000" w:sz="4" w:space="0"/>
              <w:right w:val="single" w:color="000000" w:sz="4" w:space="0"/>
            </w:tcBorders>
            <w:shd w:val="clear" w:color="auto" w:fill="FFFFFF"/>
            <w:noWrap w:val="0"/>
            <w:tcMar>
              <w:top w:w="0" w:type="dxa"/>
              <w:left w:w="105" w:type="dxa"/>
              <w:bottom w:w="0" w:type="dxa"/>
              <w:right w:w="105" w:type="dxa"/>
            </w:tcMar>
            <w:vAlign w:val="center"/>
          </w:tcPr>
          <w:p w14:paraId="0A82B8D0">
            <w:pPr>
              <w:pStyle w:val="6"/>
              <w:keepNext w:val="0"/>
              <w:keepLines w:val="0"/>
              <w:pageBreakBefore w:val="0"/>
              <w:kinsoku/>
              <w:wordWrap/>
              <w:overflowPunct/>
              <w:topLinePunct w:val="0"/>
              <w:autoSpaceDE/>
              <w:autoSpaceDN/>
              <w:bidi w:val="0"/>
              <w:adjustRightInd/>
              <w:snapToGrid/>
              <w:ind w:firstLine="0"/>
              <w:jc w:val="center"/>
              <w:textAlignment w:val="auto"/>
              <w:rPr>
                <w:color w:val="auto"/>
                <w:sz w:val="21"/>
                <w:szCs w:val="21"/>
                <w:highlight w:val="none"/>
              </w:rPr>
            </w:pPr>
            <w:r>
              <w:rPr>
                <w:rFonts w:hint="eastAsia" w:ascii="宋体" w:hAnsi="宋体" w:eastAsia="宋体" w:cs="宋体"/>
                <w:color w:val="auto"/>
                <w:sz w:val="21"/>
                <w:szCs w:val="21"/>
                <w:highlight w:val="none"/>
                <w:lang w:val="en-US" w:eastAsia="zh-CN"/>
              </w:rPr>
              <w:t>2155000</w:t>
            </w:r>
            <w:r>
              <w:rPr>
                <w:rFonts w:ascii="宋体" w:hAnsi="宋体" w:eastAsia="宋体" w:cs="宋体"/>
                <w:color w:val="auto"/>
                <w:sz w:val="21"/>
                <w:szCs w:val="21"/>
                <w:highlight w:val="none"/>
              </w:rPr>
              <w:t>.00</w:t>
            </w:r>
          </w:p>
        </w:tc>
        <w:tc>
          <w:tcPr>
            <w:tcW w:w="1141" w:type="dxa"/>
            <w:vMerge w:val="restart"/>
            <w:tcBorders>
              <w:top w:val="nil"/>
              <w:left w:val="nil"/>
              <w:bottom w:val="single" w:color="000000" w:sz="4" w:space="0"/>
              <w:right w:val="single" w:color="000000" w:sz="4" w:space="0"/>
            </w:tcBorders>
            <w:shd w:val="clear" w:color="auto" w:fill="FFFFFF"/>
            <w:noWrap w:val="0"/>
            <w:tcMar>
              <w:top w:w="0" w:type="dxa"/>
              <w:left w:w="105" w:type="dxa"/>
              <w:bottom w:w="0" w:type="dxa"/>
              <w:right w:w="105" w:type="dxa"/>
            </w:tcMar>
            <w:vAlign w:val="center"/>
          </w:tcPr>
          <w:p w14:paraId="5A206503">
            <w:pPr>
              <w:pStyle w:val="6"/>
              <w:keepNext w:val="0"/>
              <w:keepLines w:val="0"/>
              <w:pageBreakBefore w:val="0"/>
              <w:kinsoku/>
              <w:wordWrap/>
              <w:overflowPunct/>
              <w:topLinePunct w:val="0"/>
              <w:autoSpaceDE/>
              <w:autoSpaceDN/>
              <w:bidi w:val="0"/>
              <w:adjustRightInd/>
              <w:snapToGrid/>
              <w:ind w:firstLine="0"/>
              <w:jc w:val="center"/>
              <w:textAlignment w:val="auto"/>
              <w:rPr>
                <w:color w:val="auto"/>
                <w:sz w:val="21"/>
                <w:szCs w:val="21"/>
                <w:highlight w:val="none"/>
              </w:rPr>
            </w:pPr>
            <w:r>
              <w:rPr>
                <w:rFonts w:ascii="宋体" w:hAnsi="宋体" w:eastAsia="宋体" w:cs="宋体"/>
                <w:color w:val="auto"/>
                <w:sz w:val="21"/>
                <w:szCs w:val="21"/>
                <w:highlight w:val="none"/>
              </w:rPr>
              <w:t>一年</w:t>
            </w:r>
          </w:p>
        </w:tc>
        <w:tc>
          <w:tcPr>
            <w:tcW w:w="2465" w:type="dxa"/>
            <w:vMerge w:val="restart"/>
            <w:tcBorders>
              <w:top w:val="nil"/>
              <w:left w:val="nil"/>
              <w:bottom w:val="single" w:color="000000" w:sz="4" w:space="0"/>
              <w:right w:val="single" w:color="000000" w:sz="4" w:space="0"/>
            </w:tcBorders>
            <w:shd w:val="clear" w:color="auto" w:fill="FFFFFF"/>
            <w:noWrap w:val="0"/>
            <w:tcMar>
              <w:top w:w="0" w:type="dxa"/>
              <w:left w:w="105" w:type="dxa"/>
              <w:bottom w:w="0" w:type="dxa"/>
              <w:right w:w="105" w:type="dxa"/>
            </w:tcMar>
            <w:vAlign w:val="center"/>
          </w:tcPr>
          <w:p w14:paraId="07D34214">
            <w:pPr>
              <w:pStyle w:val="6"/>
              <w:keepNext w:val="0"/>
              <w:keepLines w:val="0"/>
              <w:pageBreakBefore w:val="0"/>
              <w:kinsoku/>
              <w:wordWrap/>
              <w:overflowPunct/>
              <w:topLinePunct w:val="0"/>
              <w:autoSpaceDE/>
              <w:autoSpaceDN/>
              <w:bidi w:val="0"/>
              <w:adjustRightInd/>
              <w:snapToGrid/>
              <w:ind w:firstLine="0"/>
              <w:jc w:val="center"/>
              <w:textAlignment w:val="auto"/>
              <w:rPr>
                <w:color w:val="auto"/>
                <w:sz w:val="21"/>
                <w:szCs w:val="21"/>
                <w:highlight w:val="none"/>
              </w:rPr>
            </w:pPr>
            <w:r>
              <w:rPr>
                <w:rFonts w:hint="eastAsia" w:ascii="宋体" w:hAnsi="宋体" w:eastAsia="宋体" w:cs="宋体"/>
                <w:color w:val="auto"/>
                <w:sz w:val="21"/>
                <w:szCs w:val="21"/>
                <w:highlight w:val="none"/>
                <w:lang w:val="en-US" w:eastAsia="zh-CN"/>
              </w:rPr>
              <w:t>2200000</w:t>
            </w:r>
            <w:r>
              <w:rPr>
                <w:rFonts w:ascii="宋体" w:hAnsi="宋体" w:eastAsia="宋体" w:cs="宋体"/>
                <w:color w:val="auto"/>
                <w:sz w:val="21"/>
                <w:szCs w:val="21"/>
                <w:highlight w:val="none"/>
              </w:rPr>
              <w:t>.00</w:t>
            </w:r>
          </w:p>
        </w:tc>
      </w:tr>
      <w:tr w14:paraId="1DD4845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745" w:hRule="atLeast"/>
        </w:trPr>
        <w:tc>
          <w:tcPr>
            <w:tcW w:w="811" w:type="dxa"/>
            <w:vMerge w:val="continue"/>
            <w:tcBorders>
              <w:top w:val="nil"/>
              <w:left w:val="single" w:color="000000" w:sz="4" w:space="0"/>
              <w:bottom w:val="single" w:color="000000" w:sz="4" w:space="0"/>
              <w:right w:val="single" w:color="000000" w:sz="4" w:space="0"/>
            </w:tcBorders>
            <w:shd w:val="clear" w:color="auto" w:fill="auto"/>
            <w:noWrap w:val="0"/>
            <w:vAlign w:val="top"/>
          </w:tcPr>
          <w:p w14:paraId="440CC74D">
            <w:pPr>
              <w:keepNext w:val="0"/>
              <w:keepLines w:val="0"/>
              <w:pageBreakBefore w:val="0"/>
              <w:kinsoku/>
              <w:wordWrap/>
              <w:overflowPunct/>
              <w:topLinePunct w:val="0"/>
              <w:autoSpaceDE/>
              <w:autoSpaceDN/>
              <w:bidi w:val="0"/>
              <w:adjustRightInd/>
              <w:snapToGrid/>
              <w:ind w:firstLine="0"/>
              <w:textAlignment w:val="auto"/>
              <w:rPr>
                <w:color w:val="auto"/>
                <w:sz w:val="21"/>
                <w:szCs w:val="21"/>
                <w:highlight w:val="none"/>
              </w:rPr>
            </w:pPr>
          </w:p>
        </w:tc>
        <w:tc>
          <w:tcPr>
            <w:tcW w:w="811" w:type="dxa"/>
            <w:tcBorders>
              <w:top w:val="nil"/>
              <w:left w:val="nil"/>
              <w:bottom w:val="single" w:color="000000" w:sz="4" w:space="0"/>
              <w:right w:val="single" w:color="000000" w:sz="4" w:space="0"/>
            </w:tcBorders>
            <w:shd w:val="clear" w:color="auto" w:fill="FFFFFF"/>
            <w:noWrap w:val="0"/>
            <w:tcMar>
              <w:top w:w="0" w:type="dxa"/>
              <w:left w:w="105" w:type="dxa"/>
              <w:bottom w:w="0" w:type="dxa"/>
              <w:right w:w="105" w:type="dxa"/>
            </w:tcMar>
            <w:vAlign w:val="center"/>
          </w:tcPr>
          <w:p w14:paraId="56D835F6">
            <w:pPr>
              <w:pStyle w:val="6"/>
              <w:keepNext w:val="0"/>
              <w:keepLines w:val="0"/>
              <w:pageBreakBefore w:val="0"/>
              <w:kinsoku/>
              <w:wordWrap/>
              <w:overflowPunct/>
              <w:topLinePunct w:val="0"/>
              <w:autoSpaceDE/>
              <w:autoSpaceDN/>
              <w:bidi w:val="0"/>
              <w:adjustRightInd/>
              <w:snapToGrid/>
              <w:ind w:firstLine="0"/>
              <w:jc w:val="center"/>
              <w:textAlignment w:val="auto"/>
              <w:rPr>
                <w:color w:val="auto"/>
                <w:sz w:val="21"/>
                <w:szCs w:val="21"/>
                <w:highlight w:val="none"/>
              </w:rPr>
            </w:pPr>
            <w:r>
              <w:rPr>
                <w:rFonts w:ascii="宋体" w:hAnsi="宋体" w:eastAsia="宋体" w:cs="宋体"/>
                <w:color w:val="auto"/>
                <w:sz w:val="21"/>
                <w:szCs w:val="21"/>
                <w:highlight w:val="none"/>
              </w:rPr>
              <w:t>1-2</w:t>
            </w:r>
          </w:p>
        </w:tc>
        <w:tc>
          <w:tcPr>
            <w:tcW w:w="1516" w:type="dxa"/>
            <w:tcBorders>
              <w:top w:val="nil"/>
              <w:left w:val="nil"/>
              <w:bottom w:val="single" w:color="000000" w:sz="4" w:space="0"/>
              <w:right w:val="single" w:color="000000" w:sz="4" w:space="0"/>
            </w:tcBorders>
            <w:shd w:val="clear" w:color="auto" w:fill="FFFFFF"/>
            <w:noWrap w:val="0"/>
            <w:tcMar>
              <w:top w:w="0" w:type="dxa"/>
              <w:left w:w="105" w:type="dxa"/>
              <w:bottom w:w="0" w:type="dxa"/>
              <w:right w:w="105" w:type="dxa"/>
            </w:tcMar>
            <w:vAlign w:val="center"/>
          </w:tcPr>
          <w:p w14:paraId="13856E03">
            <w:pPr>
              <w:pStyle w:val="6"/>
              <w:keepNext w:val="0"/>
              <w:keepLines w:val="0"/>
              <w:pageBreakBefore w:val="0"/>
              <w:kinsoku/>
              <w:wordWrap/>
              <w:overflowPunct/>
              <w:topLinePunct w:val="0"/>
              <w:autoSpaceDE/>
              <w:autoSpaceDN/>
              <w:bidi w:val="0"/>
              <w:adjustRightInd/>
              <w:snapToGrid/>
              <w:ind w:firstLine="0"/>
              <w:jc w:val="center"/>
              <w:textAlignment w:val="auto"/>
              <w:rPr>
                <w:color w:val="auto"/>
                <w:sz w:val="21"/>
                <w:szCs w:val="21"/>
                <w:highlight w:val="none"/>
              </w:rPr>
            </w:pPr>
            <w:r>
              <w:rPr>
                <w:rFonts w:ascii="宋体" w:hAnsi="宋体" w:eastAsia="宋体" w:cs="宋体"/>
                <w:color w:val="auto"/>
                <w:sz w:val="21"/>
                <w:szCs w:val="21"/>
                <w:highlight w:val="none"/>
              </w:rPr>
              <w:t>计生特殊家庭住院护理保险</w:t>
            </w:r>
          </w:p>
        </w:tc>
        <w:tc>
          <w:tcPr>
            <w:tcW w:w="1125" w:type="dxa"/>
            <w:tcBorders>
              <w:top w:val="nil"/>
              <w:left w:val="nil"/>
              <w:bottom w:val="single" w:color="000000" w:sz="4" w:space="0"/>
              <w:right w:val="single" w:color="000000" w:sz="4" w:space="0"/>
            </w:tcBorders>
            <w:shd w:val="clear" w:color="auto" w:fill="FFFFFF"/>
            <w:noWrap w:val="0"/>
            <w:tcMar>
              <w:top w:w="0" w:type="dxa"/>
              <w:left w:w="105" w:type="dxa"/>
              <w:bottom w:w="0" w:type="dxa"/>
              <w:right w:w="105" w:type="dxa"/>
            </w:tcMar>
            <w:vAlign w:val="center"/>
          </w:tcPr>
          <w:p w14:paraId="08695F30">
            <w:pPr>
              <w:pStyle w:val="6"/>
              <w:keepNext w:val="0"/>
              <w:keepLines w:val="0"/>
              <w:pageBreakBefore w:val="0"/>
              <w:kinsoku/>
              <w:wordWrap/>
              <w:overflowPunct/>
              <w:topLinePunct w:val="0"/>
              <w:autoSpaceDE/>
              <w:autoSpaceDN/>
              <w:bidi w:val="0"/>
              <w:adjustRightInd/>
              <w:snapToGrid/>
              <w:ind w:firstLine="0"/>
              <w:jc w:val="center"/>
              <w:textAlignment w:val="auto"/>
              <w:rPr>
                <w:color w:val="auto"/>
                <w:sz w:val="21"/>
                <w:szCs w:val="21"/>
                <w:highlight w:val="none"/>
              </w:rPr>
            </w:pPr>
            <w:r>
              <w:rPr>
                <w:rFonts w:hint="eastAsia" w:ascii="宋体" w:hAnsi="宋体" w:eastAsia="宋体" w:cs="宋体"/>
                <w:color w:val="auto"/>
                <w:sz w:val="21"/>
                <w:szCs w:val="21"/>
                <w:highlight w:val="none"/>
                <w:lang w:val="en-US" w:eastAsia="zh-CN"/>
              </w:rPr>
              <w:t>150</w:t>
            </w:r>
            <w:r>
              <w:rPr>
                <w:rFonts w:ascii="宋体" w:hAnsi="宋体" w:eastAsia="宋体" w:cs="宋体"/>
                <w:color w:val="auto"/>
                <w:sz w:val="21"/>
                <w:szCs w:val="21"/>
                <w:highlight w:val="none"/>
              </w:rPr>
              <w:t>人</w:t>
            </w:r>
          </w:p>
        </w:tc>
        <w:tc>
          <w:tcPr>
            <w:tcW w:w="1907" w:type="dxa"/>
            <w:tcBorders>
              <w:top w:val="nil"/>
              <w:left w:val="nil"/>
              <w:bottom w:val="single" w:color="000000" w:sz="4" w:space="0"/>
              <w:right w:val="single" w:color="000000" w:sz="4" w:space="0"/>
            </w:tcBorders>
            <w:shd w:val="clear" w:color="auto" w:fill="FFFFFF"/>
            <w:noWrap w:val="0"/>
            <w:tcMar>
              <w:top w:w="0" w:type="dxa"/>
              <w:left w:w="105" w:type="dxa"/>
              <w:bottom w:w="0" w:type="dxa"/>
              <w:right w:w="105" w:type="dxa"/>
            </w:tcMar>
            <w:vAlign w:val="center"/>
          </w:tcPr>
          <w:p w14:paraId="75682710">
            <w:pPr>
              <w:pStyle w:val="6"/>
              <w:keepNext w:val="0"/>
              <w:keepLines w:val="0"/>
              <w:pageBreakBefore w:val="0"/>
              <w:kinsoku/>
              <w:wordWrap/>
              <w:overflowPunct/>
              <w:topLinePunct w:val="0"/>
              <w:autoSpaceDE/>
              <w:autoSpaceDN/>
              <w:bidi w:val="0"/>
              <w:adjustRightInd/>
              <w:snapToGrid/>
              <w:ind w:firstLine="0"/>
              <w:jc w:val="center"/>
              <w:textAlignment w:val="auto"/>
              <w:rPr>
                <w:color w:val="auto"/>
                <w:sz w:val="21"/>
                <w:szCs w:val="21"/>
                <w:highlight w:val="none"/>
              </w:rPr>
            </w:pPr>
            <w:r>
              <w:rPr>
                <w:rFonts w:ascii="宋体" w:hAnsi="宋体" w:eastAsia="宋体" w:cs="宋体"/>
                <w:color w:val="auto"/>
                <w:sz w:val="21"/>
                <w:szCs w:val="21"/>
                <w:highlight w:val="none"/>
              </w:rPr>
              <w:t>4</w:t>
            </w:r>
            <w:r>
              <w:rPr>
                <w:rFonts w:hint="eastAsia" w:ascii="宋体" w:hAnsi="宋体" w:eastAsia="宋体" w:cs="宋体"/>
                <w:color w:val="auto"/>
                <w:sz w:val="21"/>
                <w:szCs w:val="21"/>
                <w:highlight w:val="none"/>
                <w:lang w:val="en-US" w:eastAsia="zh-CN"/>
              </w:rPr>
              <w:t>5000</w:t>
            </w:r>
            <w:r>
              <w:rPr>
                <w:rFonts w:ascii="宋体" w:hAnsi="宋体" w:eastAsia="宋体" w:cs="宋体"/>
                <w:color w:val="auto"/>
                <w:sz w:val="21"/>
                <w:szCs w:val="21"/>
                <w:highlight w:val="none"/>
              </w:rPr>
              <w:t>.00</w:t>
            </w:r>
          </w:p>
        </w:tc>
        <w:tc>
          <w:tcPr>
            <w:tcW w:w="1141" w:type="dxa"/>
            <w:vMerge w:val="continue"/>
            <w:tcBorders>
              <w:top w:val="nil"/>
              <w:left w:val="nil"/>
              <w:bottom w:val="single" w:color="000000" w:sz="4" w:space="0"/>
              <w:right w:val="single" w:color="000000" w:sz="4" w:space="0"/>
            </w:tcBorders>
            <w:noWrap w:val="0"/>
            <w:vAlign w:val="top"/>
          </w:tcPr>
          <w:p w14:paraId="308C15BA">
            <w:pPr>
              <w:keepNext w:val="0"/>
              <w:keepLines w:val="0"/>
              <w:pageBreakBefore w:val="0"/>
              <w:kinsoku/>
              <w:wordWrap/>
              <w:overflowPunct/>
              <w:topLinePunct w:val="0"/>
              <w:autoSpaceDE/>
              <w:autoSpaceDN/>
              <w:bidi w:val="0"/>
              <w:adjustRightInd/>
              <w:snapToGrid/>
              <w:ind w:firstLine="0"/>
              <w:textAlignment w:val="auto"/>
              <w:rPr>
                <w:color w:val="auto"/>
                <w:sz w:val="21"/>
                <w:szCs w:val="21"/>
                <w:highlight w:val="none"/>
              </w:rPr>
            </w:pPr>
          </w:p>
        </w:tc>
        <w:tc>
          <w:tcPr>
            <w:tcW w:w="2465" w:type="dxa"/>
            <w:vMerge w:val="continue"/>
            <w:tcBorders>
              <w:top w:val="nil"/>
              <w:left w:val="nil"/>
              <w:bottom w:val="single" w:color="000000" w:sz="4" w:space="0"/>
              <w:right w:val="single" w:color="000000" w:sz="4" w:space="0"/>
            </w:tcBorders>
            <w:noWrap w:val="0"/>
            <w:vAlign w:val="top"/>
          </w:tcPr>
          <w:p w14:paraId="55F1410D">
            <w:pPr>
              <w:keepNext w:val="0"/>
              <w:keepLines w:val="0"/>
              <w:pageBreakBefore w:val="0"/>
              <w:kinsoku/>
              <w:wordWrap/>
              <w:overflowPunct/>
              <w:topLinePunct w:val="0"/>
              <w:autoSpaceDE/>
              <w:autoSpaceDN/>
              <w:bidi w:val="0"/>
              <w:adjustRightInd/>
              <w:snapToGrid/>
              <w:ind w:firstLine="0"/>
              <w:textAlignment w:val="auto"/>
              <w:rPr>
                <w:color w:val="auto"/>
                <w:sz w:val="21"/>
                <w:szCs w:val="21"/>
                <w:highlight w:val="none"/>
              </w:rPr>
            </w:pPr>
          </w:p>
        </w:tc>
      </w:tr>
    </w:tbl>
    <w:p w14:paraId="24417BEA">
      <w:pPr>
        <w:pStyle w:val="6"/>
        <w:keepNext w:val="0"/>
        <w:keepLines w:val="0"/>
        <w:pageBreakBefore w:val="0"/>
        <w:widowControl/>
        <w:kinsoku/>
        <w:wordWrap/>
        <w:overflowPunct/>
        <w:topLinePunct w:val="0"/>
        <w:autoSpaceDE/>
        <w:autoSpaceDN/>
        <w:bidi w:val="0"/>
        <w:adjustRightInd/>
        <w:snapToGrid/>
        <w:spacing w:before="105" w:after="105"/>
        <w:ind w:left="-134" w:leftChars="-64" w:firstLine="482"/>
        <w:jc w:val="left"/>
        <w:textAlignment w:val="auto"/>
        <w:rPr>
          <w:rFonts w:ascii="宋体" w:hAnsi="宋体" w:eastAsia="宋体" w:cs="宋体"/>
          <w:b/>
          <w:color w:val="auto"/>
          <w:sz w:val="21"/>
          <w:szCs w:val="21"/>
          <w:highlight w:val="none"/>
        </w:rPr>
      </w:pPr>
      <w:r>
        <w:rPr>
          <w:rFonts w:ascii="宋体" w:hAnsi="宋体" w:eastAsia="宋体" w:cs="宋体"/>
          <w:b/>
          <w:color w:val="auto"/>
          <w:sz w:val="21"/>
          <w:szCs w:val="21"/>
          <w:highlight w:val="none"/>
        </w:rPr>
        <w:t>注：</w:t>
      </w:r>
    </w:p>
    <w:p w14:paraId="75B59FC7">
      <w:pPr>
        <w:pStyle w:val="6"/>
        <w:spacing w:line="360" w:lineRule="auto"/>
        <w:ind w:firstLine="480"/>
        <w:jc w:val="both"/>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1.1、</w:t>
      </w:r>
      <w:r>
        <w:rPr>
          <w:rFonts w:hint="eastAsia" w:ascii="宋体" w:hAnsi="宋体" w:eastAsia="宋体" w:cs="宋体"/>
          <w:color w:val="auto"/>
          <w:sz w:val="21"/>
          <w:szCs w:val="21"/>
          <w:highlight w:val="none"/>
          <w:shd w:val="clear" w:color="auto" w:fill="FFFFFF"/>
        </w:rPr>
        <w:t>为确保国家政策性项目的服务质量，本项目执行国家统一定价标准和采用固定价格采购</w:t>
      </w:r>
      <w:r>
        <w:rPr>
          <w:rFonts w:hint="eastAsia" w:ascii="宋体" w:hAnsi="宋体" w:eastAsia="宋体" w:cs="宋体"/>
          <w:color w:val="auto"/>
          <w:sz w:val="21"/>
          <w:szCs w:val="21"/>
          <w:highlight w:val="none"/>
          <w:shd w:val="clear" w:color="auto" w:fill="FFFFFF"/>
          <w:lang w:eastAsia="zh-CN"/>
        </w:rPr>
        <w:t>。</w:t>
      </w:r>
      <w:r>
        <w:rPr>
          <w:rFonts w:ascii="宋体" w:hAnsi="宋体" w:eastAsia="宋体" w:cs="宋体"/>
          <w:color w:val="auto"/>
          <w:sz w:val="21"/>
          <w:szCs w:val="21"/>
          <w:highlight w:val="none"/>
          <w:shd w:val="clear" w:color="auto" w:fill="FFFFFF"/>
        </w:rPr>
        <w:t>计生家庭意外伤害保险每户每年统一价格标准为100元；计生特殊家庭住院护理保险每人每年统一价格标准为300元</w:t>
      </w:r>
      <w:r>
        <w:rPr>
          <w:rFonts w:hint="eastAsia" w:ascii="宋体" w:hAnsi="宋体" w:eastAsia="宋体" w:cs="宋体"/>
          <w:color w:val="auto"/>
          <w:sz w:val="21"/>
          <w:szCs w:val="21"/>
          <w:highlight w:val="none"/>
          <w:shd w:val="clear" w:color="auto" w:fill="FFFFFF"/>
          <w:lang w:eastAsia="zh-CN"/>
        </w:rPr>
        <w:t>。</w:t>
      </w:r>
      <w:r>
        <w:rPr>
          <w:rFonts w:ascii="宋体" w:hAnsi="宋体" w:eastAsia="宋体" w:cs="宋体"/>
          <w:b/>
          <w:bCs/>
          <w:color w:val="auto"/>
          <w:sz w:val="21"/>
          <w:szCs w:val="21"/>
          <w:highlight w:val="none"/>
          <w:shd w:val="clear" w:color="auto" w:fill="FFFFFF"/>
        </w:rPr>
        <w:t>该费用为不可竞争费用</w:t>
      </w:r>
      <w:r>
        <w:rPr>
          <w:rFonts w:hint="eastAsia" w:ascii="宋体" w:hAnsi="宋体" w:eastAsia="宋体" w:cs="宋体"/>
          <w:b/>
          <w:bCs/>
          <w:color w:val="auto"/>
          <w:sz w:val="21"/>
          <w:szCs w:val="21"/>
          <w:highlight w:val="none"/>
          <w:shd w:val="clear" w:color="auto" w:fill="FFFFFF"/>
          <w:lang w:eastAsia="zh-CN"/>
        </w:rPr>
        <w:t>，</w:t>
      </w:r>
      <w:r>
        <w:rPr>
          <w:rFonts w:hint="eastAsia" w:ascii="宋体" w:hAnsi="宋体" w:eastAsia="宋体" w:cs="宋体"/>
          <w:b/>
          <w:bCs/>
          <w:color w:val="auto"/>
          <w:sz w:val="21"/>
          <w:szCs w:val="21"/>
          <w:highlight w:val="none"/>
          <w:shd w:val="clear" w:color="auto" w:fill="FFFFFF"/>
          <w:lang w:val="en-US" w:eastAsia="zh-CN"/>
        </w:rPr>
        <w:t>投标人</w:t>
      </w:r>
      <w:r>
        <w:rPr>
          <w:rFonts w:hint="eastAsia" w:ascii="宋体" w:hAnsi="宋体" w:eastAsia="宋体" w:cs="宋体"/>
          <w:b/>
          <w:bCs/>
          <w:color w:val="auto"/>
          <w:sz w:val="21"/>
          <w:szCs w:val="21"/>
          <w:highlight w:val="none"/>
          <w:shd w:val="clear" w:color="auto" w:fill="FFFFFF"/>
          <w:lang w:eastAsia="zh-CN"/>
        </w:rPr>
        <w:t>电子后台均报2200000元/年，若未按要求报价的则视为无效</w:t>
      </w:r>
      <w:r>
        <w:rPr>
          <w:rFonts w:hint="eastAsia" w:ascii="宋体" w:hAnsi="宋体" w:eastAsia="宋体" w:cs="宋体"/>
          <w:b/>
          <w:bCs/>
          <w:color w:val="auto"/>
          <w:sz w:val="21"/>
          <w:szCs w:val="21"/>
          <w:highlight w:val="none"/>
          <w:shd w:val="clear" w:color="auto" w:fill="FFFFFF"/>
          <w:lang w:val="en-US" w:eastAsia="zh-CN"/>
        </w:rPr>
        <w:t>投标</w:t>
      </w:r>
      <w:r>
        <w:rPr>
          <w:rFonts w:hint="eastAsia" w:ascii="宋体" w:hAnsi="宋体" w:eastAsia="宋体" w:cs="宋体"/>
          <w:b/>
          <w:bCs/>
          <w:color w:val="auto"/>
          <w:sz w:val="21"/>
          <w:szCs w:val="21"/>
          <w:highlight w:val="none"/>
          <w:shd w:val="clear" w:color="auto" w:fill="FFFFFF"/>
          <w:lang w:eastAsia="zh-CN"/>
        </w:rPr>
        <w:t>。</w:t>
      </w:r>
      <w:r>
        <w:rPr>
          <w:rFonts w:hint="eastAsia" w:ascii="宋体" w:hAnsi="宋体" w:eastAsia="宋体" w:cs="宋体"/>
          <w:color w:val="auto"/>
          <w:sz w:val="21"/>
          <w:szCs w:val="21"/>
          <w:highlight w:val="none"/>
          <w:shd w:val="clear" w:color="auto" w:fill="FFFFFF"/>
          <w:lang w:val="en-US" w:eastAsia="zh-CN"/>
        </w:rPr>
        <w:t>投标报价计算如下：</w:t>
      </w:r>
    </w:p>
    <w:p w14:paraId="0F1EAAE9">
      <w:pPr>
        <w:pStyle w:val="6"/>
        <w:spacing w:line="360" w:lineRule="auto"/>
        <w:ind w:firstLine="480"/>
        <w:jc w:val="both"/>
        <w:rPr>
          <w:rFonts w:ascii="宋体" w:hAnsi="宋体" w:eastAsia="宋体" w:cs="宋体"/>
          <w:b/>
          <w:bCs/>
          <w:color w:val="auto"/>
          <w:sz w:val="21"/>
          <w:szCs w:val="21"/>
          <w:highlight w:val="none"/>
          <w:shd w:val="clear" w:color="auto" w:fill="FFFFFF"/>
        </w:rPr>
      </w:pPr>
      <w:r>
        <w:rPr>
          <w:rFonts w:ascii="宋体" w:hAnsi="宋体" w:eastAsia="宋体" w:cs="宋体"/>
          <w:b/>
          <w:bCs/>
          <w:color w:val="auto"/>
          <w:sz w:val="21"/>
          <w:szCs w:val="21"/>
          <w:highlight w:val="none"/>
          <w:shd w:val="clear" w:color="auto" w:fill="FFFFFF"/>
        </w:rPr>
        <w:t>投标总报价：</w:t>
      </w:r>
      <w:r>
        <w:rPr>
          <w:rFonts w:hint="eastAsia" w:ascii="宋体" w:hAnsi="宋体" w:eastAsia="宋体" w:cs="宋体"/>
          <w:b/>
          <w:bCs/>
          <w:color w:val="auto"/>
          <w:sz w:val="21"/>
          <w:szCs w:val="21"/>
          <w:highlight w:val="none"/>
          <w:shd w:val="clear" w:color="auto" w:fill="FFFFFF"/>
        </w:rPr>
        <w:t>21550</w:t>
      </w:r>
      <w:r>
        <w:rPr>
          <w:rFonts w:ascii="宋体" w:hAnsi="宋体" w:eastAsia="宋体" w:cs="宋体"/>
          <w:b/>
          <w:bCs/>
          <w:color w:val="auto"/>
          <w:sz w:val="21"/>
          <w:szCs w:val="21"/>
          <w:highlight w:val="none"/>
          <w:shd w:val="clear" w:color="auto" w:fill="FFFFFF"/>
        </w:rPr>
        <w:t>户×100元/户/年+</w:t>
      </w:r>
      <w:r>
        <w:rPr>
          <w:rFonts w:hint="eastAsia" w:ascii="宋体" w:hAnsi="宋体" w:eastAsia="宋体" w:cs="宋体"/>
          <w:b/>
          <w:bCs/>
          <w:color w:val="auto"/>
          <w:sz w:val="21"/>
          <w:szCs w:val="21"/>
          <w:highlight w:val="none"/>
          <w:shd w:val="clear" w:color="auto" w:fill="FFFFFF"/>
        </w:rPr>
        <w:t>150</w:t>
      </w:r>
      <w:r>
        <w:rPr>
          <w:rFonts w:ascii="宋体" w:hAnsi="宋体" w:eastAsia="宋体" w:cs="宋体"/>
          <w:b/>
          <w:bCs/>
          <w:color w:val="auto"/>
          <w:sz w:val="21"/>
          <w:szCs w:val="21"/>
          <w:highlight w:val="none"/>
          <w:shd w:val="clear" w:color="auto" w:fill="FFFFFF"/>
        </w:rPr>
        <w:t>人×300元/人/年=</w:t>
      </w:r>
      <w:r>
        <w:rPr>
          <w:rFonts w:hint="eastAsia" w:ascii="宋体" w:hAnsi="宋体" w:eastAsia="宋体" w:cs="宋体"/>
          <w:b/>
          <w:bCs/>
          <w:color w:val="auto"/>
          <w:sz w:val="21"/>
          <w:szCs w:val="21"/>
          <w:highlight w:val="none"/>
          <w:shd w:val="clear" w:color="auto" w:fill="FFFFFF"/>
        </w:rPr>
        <w:t>2200000</w:t>
      </w:r>
      <w:r>
        <w:rPr>
          <w:rFonts w:ascii="宋体" w:hAnsi="宋体" w:eastAsia="宋体" w:cs="宋体"/>
          <w:b/>
          <w:bCs/>
          <w:color w:val="auto"/>
          <w:sz w:val="21"/>
          <w:szCs w:val="21"/>
          <w:highlight w:val="none"/>
          <w:shd w:val="clear" w:color="auto" w:fill="FFFFFF"/>
        </w:rPr>
        <w:t xml:space="preserve"> 元/年。</w:t>
      </w:r>
    </w:p>
    <w:p w14:paraId="57E1580D">
      <w:pPr>
        <w:pStyle w:val="6"/>
        <w:spacing w:line="360" w:lineRule="auto"/>
        <w:ind w:firstLine="480"/>
        <w:jc w:val="both"/>
        <w:rPr>
          <w:rFonts w:ascii="宋体" w:hAnsi="宋体" w:eastAsia="宋体" w:cs="宋体"/>
          <w:color w:val="auto"/>
          <w:sz w:val="21"/>
          <w:szCs w:val="21"/>
          <w:highlight w:val="none"/>
          <w:shd w:val="clear" w:color="auto" w:fill="FFFFFF"/>
        </w:rPr>
      </w:pPr>
      <w:r>
        <w:rPr>
          <w:rFonts w:ascii="宋体" w:hAnsi="宋体" w:eastAsia="宋体" w:cs="宋体"/>
          <w:color w:val="auto"/>
          <w:sz w:val="21"/>
          <w:szCs w:val="21"/>
          <w:highlight w:val="none"/>
          <w:shd w:val="clear" w:color="auto" w:fill="FFFFFF"/>
        </w:rPr>
        <w:t>1.</w:t>
      </w:r>
      <w:r>
        <w:rPr>
          <w:rFonts w:hint="eastAsia" w:ascii="宋体" w:hAnsi="宋体" w:eastAsia="宋体" w:cs="宋体"/>
          <w:color w:val="auto"/>
          <w:sz w:val="21"/>
          <w:szCs w:val="21"/>
          <w:highlight w:val="none"/>
          <w:shd w:val="clear" w:color="auto" w:fill="FFFFFF"/>
          <w:lang w:val="en-US" w:eastAsia="zh-CN"/>
        </w:rPr>
        <w:t>2</w:t>
      </w:r>
      <w:r>
        <w:rPr>
          <w:rFonts w:ascii="宋体" w:hAnsi="宋体" w:eastAsia="宋体" w:cs="宋体"/>
          <w:color w:val="auto"/>
          <w:sz w:val="21"/>
          <w:szCs w:val="21"/>
          <w:highlight w:val="none"/>
          <w:shd w:val="clear" w:color="auto" w:fill="FFFFFF"/>
        </w:rPr>
        <w:t>、福安市参保计划生育家庭意外伤害保险户数暂定为</w:t>
      </w:r>
      <w:r>
        <w:rPr>
          <w:rFonts w:hint="eastAsia" w:ascii="宋体" w:hAnsi="宋体" w:eastAsia="宋体" w:cs="宋体"/>
          <w:color w:val="auto"/>
          <w:sz w:val="21"/>
          <w:szCs w:val="21"/>
          <w:highlight w:val="none"/>
          <w:shd w:val="clear" w:color="auto" w:fill="FFFFFF"/>
        </w:rPr>
        <w:t>21550</w:t>
      </w:r>
      <w:r>
        <w:rPr>
          <w:rFonts w:ascii="宋体" w:hAnsi="宋体" w:eastAsia="宋体" w:cs="宋体"/>
          <w:color w:val="auto"/>
          <w:sz w:val="21"/>
          <w:szCs w:val="21"/>
          <w:highlight w:val="none"/>
          <w:shd w:val="clear" w:color="auto" w:fill="FFFFFF"/>
        </w:rPr>
        <w:t>户，计生特殊家庭住院护理保险人数暂定为</w:t>
      </w:r>
      <w:r>
        <w:rPr>
          <w:rFonts w:hint="eastAsia" w:ascii="宋体" w:hAnsi="宋体" w:eastAsia="宋体" w:cs="宋体"/>
          <w:color w:val="auto"/>
          <w:sz w:val="21"/>
          <w:szCs w:val="21"/>
          <w:highlight w:val="none"/>
          <w:shd w:val="clear" w:color="auto" w:fill="FFFFFF"/>
        </w:rPr>
        <w:t>150</w:t>
      </w:r>
      <w:r>
        <w:rPr>
          <w:rFonts w:ascii="宋体" w:hAnsi="宋体" w:eastAsia="宋体" w:cs="宋体"/>
          <w:color w:val="auto"/>
          <w:sz w:val="21"/>
          <w:szCs w:val="21"/>
          <w:highlight w:val="none"/>
          <w:shd w:val="clear" w:color="auto" w:fill="FFFFFF"/>
        </w:rPr>
        <w:t>人，</w:t>
      </w:r>
      <w:r>
        <w:rPr>
          <w:rFonts w:hint="eastAsia" w:ascii="宋体" w:hAnsi="宋体" w:eastAsia="宋体" w:cs="宋体"/>
          <w:color w:val="auto"/>
          <w:sz w:val="21"/>
          <w:szCs w:val="21"/>
          <w:highlight w:val="none"/>
          <w:shd w:val="clear" w:color="auto" w:fill="FFFFFF"/>
          <w:lang w:val="en-US" w:eastAsia="zh-CN"/>
        </w:rPr>
        <w:t>此数据</w:t>
      </w:r>
      <w:r>
        <w:rPr>
          <w:rFonts w:ascii="宋体" w:hAnsi="宋体" w:eastAsia="宋体" w:cs="宋体"/>
          <w:color w:val="auto"/>
          <w:sz w:val="21"/>
          <w:szCs w:val="21"/>
          <w:highlight w:val="none"/>
          <w:shd w:val="clear" w:color="auto" w:fill="FFFFFF"/>
        </w:rPr>
        <w:t>为预估数量，</w:t>
      </w:r>
      <w:r>
        <w:rPr>
          <w:rFonts w:hint="eastAsia" w:ascii="宋体" w:hAnsi="宋体" w:eastAsia="宋体" w:cs="宋体"/>
          <w:color w:val="auto"/>
          <w:sz w:val="21"/>
          <w:szCs w:val="21"/>
          <w:highlight w:val="none"/>
          <w:shd w:val="clear" w:color="auto" w:fill="FFFFFF"/>
          <w:lang w:val="en-US" w:eastAsia="zh-CN"/>
        </w:rPr>
        <w:t>如有变动以</w:t>
      </w:r>
      <w:r>
        <w:rPr>
          <w:rFonts w:ascii="宋体" w:hAnsi="宋体" w:eastAsia="宋体" w:cs="宋体"/>
          <w:color w:val="auto"/>
          <w:sz w:val="21"/>
          <w:szCs w:val="21"/>
          <w:highlight w:val="none"/>
          <w:shd w:val="clear" w:color="auto" w:fill="FFFFFF"/>
        </w:rPr>
        <w:t>实际</w:t>
      </w:r>
      <w:r>
        <w:rPr>
          <w:rFonts w:hint="eastAsia" w:ascii="宋体" w:hAnsi="宋体" w:eastAsia="宋体" w:cs="宋体"/>
          <w:color w:val="auto"/>
          <w:sz w:val="21"/>
          <w:szCs w:val="21"/>
          <w:highlight w:val="none"/>
          <w:shd w:val="clear" w:color="auto" w:fill="FFFFFF"/>
          <w:lang w:val="en-US" w:eastAsia="zh-CN"/>
        </w:rPr>
        <w:t>完成</w:t>
      </w:r>
      <w:r>
        <w:rPr>
          <w:rFonts w:ascii="宋体" w:hAnsi="宋体" w:eastAsia="宋体" w:cs="宋体"/>
          <w:color w:val="auto"/>
          <w:sz w:val="21"/>
          <w:szCs w:val="21"/>
          <w:highlight w:val="none"/>
          <w:shd w:val="clear" w:color="auto" w:fill="FFFFFF"/>
        </w:rPr>
        <w:t>数量</w:t>
      </w:r>
      <w:r>
        <w:rPr>
          <w:rFonts w:hint="eastAsia" w:ascii="宋体" w:hAnsi="宋体" w:eastAsia="宋体" w:cs="宋体"/>
          <w:color w:val="auto"/>
          <w:sz w:val="21"/>
          <w:szCs w:val="21"/>
          <w:highlight w:val="none"/>
          <w:shd w:val="clear" w:color="auto" w:fill="FFFFFF"/>
          <w:lang w:val="en-US" w:eastAsia="zh-CN"/>
        </w:rPr>
        <w:t>为准，各投标人自行评估。实际支付金额计算如下：</w:t>
      </w:r>
    </w:p>
    <w:p w14:paraId="66F61556">
      <w:pPr>
        <w:pStyle w:val="6"/>
        <w:spacing w:line="360" w:lineRule="auto"/>
        <w:ind w:firstLine="480"/>
        <w:jc w:val="both"/>
        <w:rPr>
          <w:rFonts w:hint="eastAsia" w:ascii="宋体" w:hAnsi="宋体" w:eastAsia="宋体" w:cs="宋体"/>
          <w:b/>
          <w:bCs/>
          <w:color w:val="auto"/>
          <w:sz w:val="21"/>
          <w:szCs w:val="21"/>
          <w:highlight w:val="none"/>
          <w:shd w:val="clear" w:color="auto" w:fill="FFFFFF"/>
          <w:lang w:val="en-US" w:eastAsia="zh-CN"/>
        </w:rPr>
      </w:pPr>
      <w:r>
        <w:rPr>
          <w:rFonts w:ascii="宋体" w:hAnsi="宋体" w:eastAsia="宋体" w:cs="宋体"/>
          <w:b/>
          <w:bCs/>
          <w:color w:val="auto"/>
          <w:sz w:val="21"/>
          <w:szCs w:val="21"/>
          <w:highlight w:val="none"/>
          <w:shd w:val="clear" w:color="auto" w:fill="FFFFFF"/>
        </w:rPr>
        <w:t>计生家庭意外伤害保险</w:t>
      </w:r>
      <w:r>
        <w:rPr>
          <w:rFonts w:hint="eastAsia" w:ascii="宋体" w:hAnsi="宋体" w:eastAsia="宋体" w:cs="宋体"/>
          <w:b/>
          <w:bCs/>
          <w:color w:val="auto"/>
          <w:sz w:val="21"/>
          <w:szCs w:val="21"/>
          <w:highlight w:val="none"/>
          <w:shd w:val="clear" w:color="auto" w:fill="FFFFFF"/>
          <w:lang w:eastAsia="zh-CN"/>
        </w:rPr>
        <w:t>实际</w:t>
      </w:r>
      <w:r>
        <w:rPr>
          <w:rFonts w:hint="eastAsia" w:ascii="宋体" w:hAnsi="宋体" w:eastAsia="宋体" w:cs="宋体"/>
          <w:b/>
          <w:bCs/>
          <w:color w:val="auto"/>
          <w:sz w:val="21"/>
          <w:szCs w:val="21"/>
          <w:highlight w:val="none"/>
          <w:shd w:val="clear" w:color="auto" w:fill="FFFFFF"/>
          <w:lang w:val="en-US" w:eastAsia="zh-CN"/>
        </w:rPr>
        <w:t>投保户数</w:t>
      </w:r>
      <w:r>
        <w:rPr>
          <w:rFonts w:ascii="宋体" w:hAnsi="宋体" w:eastAsia="宋体" w:cs="宋体"/>
          <w:b/>
          <w:bCs/>
          <w:color w:val="auto"/>
          <w:sz w:val="21"/>
          <w:szCs w:val="21"/>
          <w:highlight w:val="none"/>
          <w:shd w:val="clear" w:color="auto" w:fill="FFFFFF"/>
        </w:rPr>
        <w:t>×100元/户/年+计生特殊家庭住院护理保险</w:t>
      </w:r>
      <w:r>
        <w:rPr>
          <w:rFonts w:hint="eastAsia" w:ascii="宋体" w:hAnsi="宋体" w:eastAsia="宋体" w:cs="宋体"/>
          <w:b/>
          <w:bCs/>
          <w:color w:val="auto"/>
          <w:sz w:val="21"/>
          <w:szCs w:val="21"/>
          <w:highlight w:val="none"/>
          <w:shd w:val="clear" w:color="auto" w:fill="FFFFFF"/>
          <w:lang w:eastAsia="zh-CN"/>
        </w:rPr>
        <w:t>实际</w:t>
      </w:r>
      <w:r>
        <w:rPr>
          <w:rFonts w:hint="eastAsia" w:ascii="宋体" w:hAnsi="宋体" w:eastAsia="宋体" w:cs="宋体"/>
          <w:b/>
          <w:bCs/>
          <w:color w:val="auto"/>
          <w:sz w:val="21"/>
          <w:szCs w:val="21"/>
          <w:highlight w:val="none"/>
          <w:shd w:val="clear" w:color="auto" w:fill="FFFFFF"/>
          <w:lang w:val="en-US" w:eastAsia="zh-CN"/>
        </w:rPr>
        <w:t>投保人数</w:t>
      </w:r>
      <w:r>
        <w:rPr>
          <w:rFonts w:ascii="宋体" w:hAnsi="宋体" w:eastAsia="宋体" w:cs="宋体"/>
          <w:b/>
          <w:bCs/>
          <w:color w:val="auto"/>
          <w:sz w:val="21"/>
          <w:szCs w:val="21"/>
          <w:highlight w:val="none"/>
          <w:shd w:val="clear" w:color="auto" w:fill="FFFFFF"/>
        </w:rPr>
        <w:t>×300元/人/年</w:t>
      </w:r>
      <w:r>
        <w:rPr>
          <w:rFonts w:hint="eastAsia" w:ascii="宋体" w:hAnsi="宋体" w:eastAsia="宋体" w:cs="宋体"/>
          <w:b/>
          <w:bCs/>
          <w:color w:val="auto"/>
          <w:sz w:val="21"/>
          <w:szCs w:val="21"/>
          <w:highlight w:val="none"/>
          <w:shd w:val="clear" w:color="auto" w:fill="FFFFFF"/>
          <w:lang w:val="en-US" w:eastAsia="zh-CN"/>
        </w:rPr>
        <w:t>=实际支付金额</w:t>
      </w:r>
    </w:p>
    <w:p w14:paraId="3105CFB8">
      <w:pPr>
        <w:pStyle w:val="6"/>
        <w:spacing w:line="360" w:lineRule="auto"/>
        <w:ind w:firstLine="480"/>
        <w:jc w:val="both"/>
        <w:rPr>
          <w:rFonts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shd w:val="clear" w:color="auto" w:fill="FFFFFF"/>
          <w:lang w:val="en-US" w:eastAsia="zh-CN"/>
        </w:rPr>
        <w:t>1.3</w:t>
      </w:r>
      <w:r>
        <w:rPr>
          <w:rFonts w:ascii="宋体" w:hAnsi="宋体" w:eastAsia="宋体" w:cs="宋体"/>
          <w:color w:val="auto"/>
          <w:sz w:val="21"/>
          <w:szCs w:val="21"/>
          <w:highlight w:val="none"/>
          <w:shd w:val="clear" w:color="auto" w:fill="FFFFFF"/>
        </w:rPr>
        <w:t>投标人必须针对本项目中的服务，严格按照招标文件中提供的服务要求进行整体报价，总报价包括但不限于以下费用：人工费、税费、保险费、服务费、培训费、招标代理服务费等，各投标人应依据招标文件要求自行核算成本报价，如有遗漏部分将不再进行增补。</w:t>
      </w:r>
    </w:p>
    <w:p w14:paraId="51DF656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360" w:lineRule="auto"/>
        <w:ind w:left="376" w:right="376"/>
        <w:jc w:val="both"/>
        <w:textAlignment w:val="auto"/>
        <w:rPr>
          <w:rFonts w:hint="eastAsia" w:ascii="宋体" w:hAnsi="宋体" w:eastAsia="宋体" w:cs="宋体"/>
          <w:color w:val="auto"/>
          <w:sz w:val="21"/>
          <w:szCs w:val="21"/>
          <w:highlight w:val="none"/>
        </w:rPr>
      </w:pPr>
      <w:r>
        <w:rPr>
          <w:rFonts w:hint="eastAsia" w:ascii="宋体" w:hAnsi="宋体" w:eastAsia="宋体" w:cs="宋体"/>
          <w:i w:val="0"/>
          <w:iCs w:val="0"/>
          <w:caps w:val="0"/>
          <w:color w:val="auto"/>
          <w:spacing w:val="0"/>
          <w:sz w:val="21"/>
          <w:szCs w:val="21"/>
          <w:highlight w:val="none"/>
          <w:shd w:val="clear" w:color="auto" w:fill="FFFFFF"/>
        </w:rPr>
        <w:t>二、技术和服务要求（以“★”标示的内容为不允许负偏离的实质性要求）</w:t>
      </w:r>
    </w:p>
    <w:p w14:paraId="0D481B01">
      <w:pPr>
        <w:pStyle w:val="6"/>
        <w:spacing w:before="105" w:after="105"/>
        <w:ind w:firstLine="480"/>
        <w:jc w:val="left"/>
        <w:rPr>
          <w:color w:val="auto"/>
          <w:sz w:val="21"/>
          <w:szCs w:val="21"/>
          <w:highlight w:val="none"/>
        </w:rPr>
      </w:pPr>
      <w:r>
        <w:rPr>
          <w:rFonts w:ascii="宋体" w:hAnsi="宋体" w:eastAsia="宋体" w:cs="宋体"/>
          <w:color w:val="auto"/>
          <w:sz w:val="21"/>
          <w:szCs w:val="21"/>
          <w:highlight w:val="none"/>
        </w:rPr>
        <w:t>★1、保障对象：</w:t>
      </w:r>
    </w:p>
    <w:p w14:paraId="0EE491C8">
      <w:pPr>
        <w:pStyle w:val="6"/>
        <w:ind w:firstLine="480"/>
        <w:jc w:val="both"/>
        <w:rPr>
          <w:color w:val="auto"/>
          <w:sz w:val="21"/>
          <w:szCs w:val="21"/>
          <w:highlight w:val="none"/>
        </w:rPr>
      </w:pPr>
      <w:r>
        <w:rPr>
          <w:rFonts w:ascii="宋体" w:hAnsi="宋体" w:eastAsia="宋体" w:cs="宋体"/>
          <w:color w:val="auto"/>
          <w:sz w:val="21"/>
          <w:szCs w:val="21"/>
          <w:highlight w:val="none"/>
          <w:shd w:val="clear" w:color="auto" w:fill="FFFFFF"/>
        </w:rPr>
        <w:t>计生家庭意外伤害保险保障对象：以家庭为单位。凡是符合计划生育政策生育，年龄75 周岁以下(含75 周岁)的家庭成员都可参保。计生特殊家庭成员参保年龄不设限制。</w:t>
      </w:r>
      <w:r>
        <w:rPr>
          <w:rFonts w:ascii="宋体" w:hAnsi="宋体" w:eastAsia="宋体" w:cs="宋体"/>
          <w:color w:val="auto"/>
          <w:sz w:val="21"/>
          <w:szCs w:val="21"/>
          <w:highlight w:val="none"/>
        </w:rPr>
        <w:t>政府投入部分应优先保障计生特殊家庭、低保计生家庭、独生子女户、二女户中的困难家庭。鼓励将积极响应政策生育的三孩家庭纳入保障范围。</w:t>
      </w:r>
    </w:p>
    <w:p w14:paraId="56CE1787">
      <w:pPr>
        <w:pStyle w:val="6"/>
        <w:spacing w:before="105" w:after="105"/>
        <w:ind w:firstLine="449" w:firstLineChars="214"/>
        <w:jc w:val="left"/>
        <w:rPr>
          <w:color w:val="auto"/>
          <w:sz w:val="21"/>
          <w:szCs w:val="21"/>
          <w:highlight w:val="none"/>
        </w:rPr>
      </w:pPr>
      <w:r>
        <w:rPr>
          <w:rFonts w:ascii="宋体" w:hAnsi="宋体" w:eastAsia="宋体" w:cs="宋体"/>
          <w:color w:val="auto"/>
          <w:sz w:val="21"/>
          <w:szCs w:val="21"/>
          <w:highlight w:val="none"/>
          <w:shd w:val="clear" w:color="auto" w:fill="FFFFFF"/>
        </w:rPr>
        <w:t>计生特殊家庭住院护理保险保障对象：</w:t>
      </w:r>
      <w:r>
        <w:rPr>
          <w:rFonts w:ascii="宋体" w:hAnsi="宋体" w:eastAsia="宋体" w:cs="宋体"/>
          <w:color w:val="auto"/>
          <w:sz w:val="21"/>
          <w:szCs w:val="21"/>
          <w:highlight w:val="none"/>
        </w:rPr>
        <w:t>女方49周岁以上纳入卫健特扶系统的计生特殊家庭对象，年龄不设上限。</w:t>
      </w:r>
    </w:p>
    <w:p w14:paraId="61BEF8D2">
      <w:pPr>
        <w:pStyle w:val="6"/>
        <w:spacing w:before="105" w:after="105"/>
        <w:ind w:firstLine="210" w:firstLineChars="100"/>
        <w:jc w:val="left"/>
        <w:rPr>
          <w:rFonts w:ascii="宋体" w:hAnsi="宋体" w:eastAsia="宋体" w:cs="宋体"/>
          <w:color w:val="auto"/>
          <w:sz w:val="21"/>
          <w:szCs w:val="21"/>
          <w:highlight w:val="none"/>
        </w:rPr>
      </w:pPr>
      <w:r>
        <w:rPr>
          <w:color w:val="auto"/>
          <w:sz w:val="21"/>
          <w:szCs w:val="21"/>
          <w:highlight w:val="none"/>
        </w:rPr>
        <w:t xml:space="preserve"> </w:t>
      </w:r>
      <w:r>
        <w:rPr>
          <w:rFonts w:ascii="宋体" w:hAnsi="宋体" w:eastAsia="宋体" w:cs="宋体"/>
          <w:color w:val="auto"/>
          <w:sz w:val="21"/>
          <w:szCs w:val="21"/>
          <w:highlight w:val="none"/>
        </w:rPr>
        <w:t>★</w:t>
      </w:r>
      <w:r>
        <w:rPr>
          <w:color w:val="auto"/>
          <w:sz w:val="21"/>
          <w:szCs w:val="21"/>
          <w:highlight w:val="none"/>
        </w:rPr>
        <w:t xml:space="preserve"> </w:t>
      </w:r>
      <w:r>
        <w:rPr>
          <w:rFonts w:ascii="宋体" w:hAnsi="宋体" w:eastAsia="宋体" w:cs="宋体"/>
          <w:color w:val="auto"/>
          <w:sz w:val="21"/>
          <w:szCs w:val="21"/>
          <w:highlight w:val="none"/>
        </w:rPr>
        <w:t>2、服务期限：</w:t>
      </w:r>
    </w:p>
    <w:p w14:paraId="370F4F13">
      <w:pPr>
        <w:pStyle w:val="6"/>
        <w:spacing w:before="105" w:after="105"/>
        <w:ind w:firstLine="420" w:firstLineChars="200"/>
        <w:jc w:val="left"/>
        <w:rPr>
          <w:color w:val="auto"/>
          <w:sz w:val="21"/>
          <w:szCs w:val="21"/>
          <w:highlight w:val="none"/>
        </w:rPr>
      </w:pPr>
      <w:r>
        <w:rPr>
          <w:rFonts w:hint="eastAsia" w:ascii="宋体" w:hAnsi="宋体" w:eastAsia="宋体" w:cs="宋体"/>
          <w:color w:val="auto"/>
          <w:sz w:val="21"/>
          <w:szCs w:val="21"/>
          <w:highlight w:val="none"/>
          <w:lang w:val="en-US" w:eastAsia="zh-CN"/>
        </w:rPr>
        <w:t>①</w:t>
      </w:r>
      <w:r>
        <w:rPr>
          <w:rFonts w:ascii="宋体" w:hAnsi="宋体" w:eastAsia="宋体" w:cs="宋体"/>
          <w:color w:val="auto"/>
          <w:sz w:val="21"/>
          <w:szCs w:val="21"/>
          <w:highlight w:val="none"/>
          <w:shd w:val="clear" w:color="auto" w:fill="FFFFFF"/>
        </w:rPr>
        <w:t>计生家庭意外伤害保险</w:t>
      </w:r>
      <w:r>
        <w:rPr>
          <w:rFonts w:ascii="宋体" w:hAnsi="宋体" w:eastAsia="宋体" w:cs="宋体"/>
          <w:color w:val="auto"/>
          <w:sz w:val="21"/>
          <w:szCs w:val="21"/>
          <w:highlight w:val="none"/>
        </w:rPr>
        <w:t>项目（</w:t>
      </w:r>
      <w:r>
        <w:rPr>
          <w:rFonts w:hint="eastAsia" w:ascii="宋体" w:hAnsi="宋体" w:eastAsia="宋体" w:cs="宋体"/>
          <w:color w:val="auto"/>
          <w:sz w:val="21"/>
          <w:szCs w:val="21"/>
          <w:highlight w:val="none"/>
          <w:lang w:val="en-US" w:eastAsia="zh-CN"/>
        </w:rPr>
        <w:t>乡镇/</w:t>
      </w:r>
      <w:r>
        <w:rPr>
          <w:rFonts w:ascii="宋体" w:hAnsi="宋体" w:eastAsia="宋体" w:cs="宋体"/>
          <w:color w:val="auto"/>
          <w:sz w:val="21"/>
          <w:szCs w:val="21"/>
          <w:highlight w:val="none"/>
        </w:rPr>
        <w:t>预估数量：</w:t>
      </w:r>
      <w:r>
        <w:rPr>
          <w:rFonts w:hint="eastAsia" w:ascii="宋体" w:hAnsi="宋体" w:eastAsia="宋体" w:cs="宋体"/>
          <w:b/>
          <w:color w:val="auto"/>
          <w:sz w:val="21"/>
          <w:szCs w:val="21"/>
          <w:highlight w:val="none"/>
          <w:shd w:val="clear" w:color="auto" w:fill="FFFFFF"/>
          <w:lang w:val="en-US" w:eastAsia="zh-CN"/>
        </w:rPr>
        <w:t>13533</w:t>
      </w:r>
      <w:r>
        <w:rPr>
          <w:rFonts w:ascii="宋体" w:hAnsi="宋体" w:eastAsia="宋体" w:cs="宋体"/>
          <w:color w:val="auto"/>
          <w:sz w:val="21"/>
          <w:szCs w:val="21"/>
          <w:highlight w:val="none"/>
        </w:rPr>
        <w:t>户）服务期限为1年，具体服务期限从</w:t>
      </w:r>
      <w:r>
        <w:rPr>
          <w:rFonts w:ascii="宋体" w:hAnsi="宋体" w:eastAsia="宋体" w:cs="宋体"/>
          <w:color w:val="auto"/>
          <w:sz w:val="21"/>
          <w:szCs w:val="21"/>
          <w:highlight w:val="none"/>
        </w:rPr>
        <w:t>202</w:t>
      </w:r>
      <w:r>
        <w:rPr>
          <w:rFonts w:hint="eastAsia" w:ascii="宋体" w:hAnsi="宋体" w:eastAsia="宋体" w:cs="宋体"/>
          <w:color w:val="auto"/>
          <w:sz w:val="21"/>
          <w:szCs w:val="21"/>
          <w:highlight w:val="none"/>
          <w:lang w:val="en-US" w:eastAsia="zh-CN"/>
        </w:rPr>
        <w:t>5</w:t>
      </w:r>
      <w:r>
        <w:rPr>
          <w:rFonts w:ascii="宋体" w:hAnsi="宋体" w:eastAsia="宋体" w:cs="宋体"/>
          <w:color w:val="auto"/>
          <w:sz w:val="21"/>
          <w:szCs w:val="21"/>
          <w:highlight w:val="none"/>
        </w:rPr>
        <w:t>年6月1日至202</w:t>
      </w:r>
      <w:r>
        <w:rPr>
          <w:rFonts w:hint="eastAsia" w:ascii="宋体" w:hAnsi="宋体" w:eastAsia="宋体" w:cs="宋体"/>
          <w:color w:val="auto"/>
          <w:sz w:val="21"/>
          <w:szCs w:val="21"/>
          <w:highlight w:val="none"/>
          <w:lang w:val="en-US" w:eastAsia="zh-CN"/>
        </w:rPr>
        <w:t>6</w:t>
      </w:r>
      <w:r>
        <w:rPr>
          <w:rFonts w:ascii="宋体" w:hAnsi="宋体" w:eastAsia="宋体" w:cs="宋体"/>
          <w:color w:val="auto"/>
          <w:sz w:val="21"/>
          <w:szCs w:val="21"/>
          <w:highlight w:val="none"/>
        </w:rPr>
        <w:t>年5月31日（注：续保对象在202</w:t>
      </w:r>
      <w:r>
        <w:rPr>
          <w:rFonts w:hint="eastAsia" w:ascii="宋体" w:hAnsi="宋体" w:eastAsia="宋体" w:cs="宋体"/>
          <w:color w:val="auto"/>
          <w:sz w:val="21"/>
          <w:szCs w:val="21"/>
          <w:highlight w:val="none"/>
          <w:lang w:val="en-US" w:eastAsia="zh-CN"/>
        </w:rPr>
        <w:t>5</w:t>
      </w:r>
      <w:r>
        <w:rPr>
          <w:rFonts w:ascii="宋体" w:hAnsi="宋体" w:eastAsia="宋体" w:cs="宋体"/>
          <w:color w:val="auto"/>
          <w:sz w:val="21"/>
          <w:szCs w:val="21"/>
          <w:highlight w:val="none"/>
        </w:rPr>
        <w:t>年6月1日至确定中标人期间属于本次中标人理赔责任期间，</w:t>
      </w:r>
      <w:r>
        <w:rPr>
          <w:rFonts w:ascii="宋体" w:hAnsi="宋体" w:eastAsia="宋体" w:cs="宋体"/>
          <w:color w:val="auto"/>
          <w:sz w:val="21"/>
          <w:szCs w:val="21"/>
          <w:highlight w:val="none"/>
          <w:shd w:val="clear" w:color="auto" w:fill="FFFFFF"/>
        </w:rPr>
        <w:t>中标人必须承担赔付责任</w:t>
      </w:r>
      <w:r>
        <w:rPr>
          <w:rFonts w:ascii="宋体" w:hAnsi="宋体" w:eastAsia="宋体" w:cs="宋体"/>
          <w:color w:val="auto"/>
          <w:sz w:val="21"/>
          <w:szCs w:val="21"/>
          <w:highlight w:val="none"/>
        </w:rPr>
        <w:t>）</w:t>
      </w:r>
      <w:r>
        <w:rPr>
          <w:rFonts w:ascii="宋体" w:hAnsi="宋体" w:eastAsia="宋体" w:cs="宋体"/>
          <w:color w:val="auto"/>
          <w:sz w:val="21"/>
          <w:szCs w:val="21"/>
          <w:highlight w:val="none"/>
        </w:rPr>
        <w:t>。</w:t>
      </w:r>
    </w:p>
    <w:p w14:paraId="581E31D7">
      <w:pPr>
        <w:pStyle w:val="6"/>
        <w:spacing w:before="105" w:after="105"/>
        <w:ind w:firstLine="420" w:firstLineChars="200"/>
        <w:jc w:val="left"/>
        <w:rPr>
          <w:color w:val="auto"/>
          <w:sz w:val="21"/>
          <w:szCs w:val="21"/>
          <w:highlight w:val="none"/>
        </w:rPr>
      </w:pPr>
      <w:r>
        <w:rPr>
          <w:rFonts w:hint="eastAsia" w:ascii="宋体" w:hAnsi="宋体" w:eastAsia="宋体" w:cs="宋体"/>
          <w:color w:val="auto"/>
          <w:sz w:val="21"/>
          <w:szCs w:val="21"/>
          <w:highlight w:val="none"/>
          <w:shd w:val="clear" w:color="auto" w:fill="FFFFFF"/>
          <w:lang w:val="en-US" w:eastAsia="zh-CN"/>
        </w:rPr>
        <w:t>②</w:t>
      </w:r>
      <w:r>
        <w:rPr>
          <w:rFonts w:ascii="宋体" w:hAnsi="宋体" w:eastAsia="宋体" w:cs="宋体"/>
          <w:color w:val="auto"/>
          <w:sz w:val="21"/>
          <w:szCs w:val="21"/>
          <w:highlight w:val="none"/>
          <w:shd w:val="clear" w:color="auto" w:fill="FFFFFF"/>
        </w:rPr>
        <w:t>计生家庭意外伤害保险</w:t>
      </w:r>
      <w:r>
        <w:rPr>
          <w:rFonts w:ascii="宋体" w:hAnsi="宋体" w:eastAsia="宋体" w:cs="宋体"/>
          <w:color w:val="auto"/>
          <w:sz w:val="21"/>
          <w:szCs w:val="21"/>
          <w:highlight w:val="none"/>
        </w:rPr>
        <w:t>项目（</w:t>
      </w:r>
      <w:r>
        <w:rPr>
          <w:rFonts w:ascii="宋体" w:hAnsi="宋体" w:eastAsia="宋体" w:cs="宋体"/>
          <w:color w:val="auto"/>
          <w:sz w:val="21"/>
          <w:szCs w:val="21"/>
          <w:highlight w:val="none"/>
          <w:shd w:val="clear" w:color="auto" w:fill="FFFFFF"/>
        </w:rPr>
        <w:t>市直、乡镇机关单位</w:t>
      </w:r>
      <w:r>
        <w:rPr>
          <w:rFonts w:ascii="宋体" w:hAnsi="宋体" w:eastAsia="宋体" w:cs="宋体"/>
          <w:color w:val="auto"/>
          <w:sz w:val="21"/>
          <w:szCs w:val="21"/>
          <w:highlight w:val="none"/>
        </w:rPr>
        <w:t>/预估数量：</w:t>
      </w:r>
      <w:r>
        <w:rPr>
          <w:rFonts w:hint="eastAsia" w:ascii="宋体" w:hAnsi="宋体" w:eastAsia="宋体" w:cs="宋体"/>
          <w:b/>
          <w:color w:val="auto"/>
          <w:sz w:val="21"/>
          <w:szCs w:val="21"/>
          <w:highlight w:val="none"/>
          <w:lang w:val="en-US" w:eastAsia="zh-CN"/>
        </w:rPr>
        <w:t>8017</w:t>
      </w:r>
      <w:r>
        <w:rPr>
          <w:rFonts w:ascii="宋体" w:hAnsi="宋体" w:eastAsia="宋体" w:cs="宋体"/>
          <w:color w:val="auto"/>
          <w:sz w:val="21"/>
          <w:szCs w:val="21"/>
          <w:highlight w:val="none"/>
        </w:rPr>
        <w:t>户）服务期限为1年，具体服务期限从</w:t>
      </w:r>
      <w:r>
        <w:rPr>
          <w:rFonts w:ascii="宋体" w:hAnsi="宋体" w:eastAsia="宋体" w:cs="宋体"/>
          <w:color w:val="auto"/>
          <w:sz w:val="21"/>
          <w:szCs w:val="21"/>
          <w:highlight w:val="none"/>
        </w:rPr>
        <w:t>202</w:t>
      </w:r>
      <w:r>
        <w:rPr>
          <w:rFonts w:hint="eastAsia" w:ascii="宋体" w:hAnsi="宋体" w:eastAsia="宋体" w:cs="宋体"/>
          <w:color w:val="auto"/>
          <w:sz w:val="21"/>
          <w:szCs w:val="21"/>
          <w:highlight w:val="none"/>
          <w:lang w:val="en-US" w:eastAsia="zh-CN"/>
        </w:rPr>
        <w:t>5</w:t>
      </w:r>
      <w:r>
        <w:rPr>
          <w:rFonts w:ascii="宋体" w:hAnsi="宋体" w:eastAsia="宋体" w:cs="宋体"/>
          <w:color w:val="auto"/>
          <w:sz w:val="21"/>
          <w:szCs w:val="21"/>
          <w:highlight w:val="none"/>
        </w:rPr>
        <w:t>年7月1日至202</w:t>
      </w:r>
      <w:r>
        <w:rPr>
          <w:rFonts w:hint="eastAsia" w:ascii="宋体" w:hAnsi="宋体" w:eastAsia="宋体" w:cs="宋体"/>
          <w:color w:val="auto"/>
          <w:sz w:val="21"/>
          <w:szCs w:val="21"/>
          <w:highlight w:val="none"/>
          <w:lang w:val="en-US" w:eastAsia="zh-CN"/>
        </w:rPr>
        <w:t>6</w:t>
      </w:r>
      <w:r>
        <w:rPr>
          <w:rFonts w:ascii="宋体" w:hAnsi="宋体" w:eastAsia="宋体" w:cs="宋体"/>
          <w:color w:val="auto"/>
          <w:sz w:val="21"/>
          <w:szCs w:val="21"/>
          <w:highlight w:val="none"/>
        </w:rPr>
        <w:t>年6月30日（注：续保对象在202</w:t>
      </w:r>
      <w:r>
        <w:rPr>
          <w:rFonts w:hint="eastAsia" w:ascii="宋体" w:hAnsi="宋体" w:eastAsia="宋体" w:cs="宋体"/>
          <w:color w:val="auto"/>
          <w:sz w:val="21"/>
          <w:szCs w:val="21"/>
          <w:highlight w:val="none"/>
          <w:lang w:val="en-US" w:eastAsia="zh-CN"/>
        </w:rPr>
        <w:t>5</w:t>
      </w:r>
      <w:r>
        <w:rPr>
          <w:rFonts w:ascii="宋体" w:hAnsi="宋体" w:eastAsia="宋体" w:cs="宋体"/>
          <w:color w:val="auto"/>
          <w:sz w:val="21"/>
          <w:szCs w:val="21"/>
          <w:highlight w:val="none"/>
        </w:rPr>
        <w:t>年7月1日至确定中标人期间属于本次中标人理赔责任期间，</w:t>
      </w:r>
      <w:r>
        <w:rPr>
          <w:rFonts w:ascii="宋体" w:hAnsi="宋体" w:eastAsia="宋体" w:cs="宋体"/>
          <w:color w:val="auto"/>
          <w:sz w:val="21"/>
          <w:szCs w:val="21"/>
          <w:highlight w:val="none"/>
          <w:shd w:val="clear" w:color="auto" w:fill="FFFFFF"/>
        </w:rPr>
        <w:t>中标人必须承担赔付责任</w:t>
      </w:r>
      <w:r>
        <w:rPr>
          <w:rFonts w:ascii="宋体" w:hAnsi="宋体" w:eastAsia="宋体" w:cs="宋体"/>
          <w:color w:val="auto"/>
          <w:sz w:val="21"/>
          <w:szCs w:val="21"/>
          <w:highlight w:val="none"/>
        </w:rPr>
        <w:t>）。</w:t>
      </w:r>
    </w:p>
    <w:p w14:paraId="0DEB10EA">
      <w:pPr>
        <w:pStyle w:val="6"/>
        <w:spacing w:before="105" w:after="105"/>
        <w:ind w:firstLine="420" w:firstLineChars="200"/>
        <w:jc w:val="left"/>
        <w:rPr>
          <w:color w:val="auto"/>
          <w:sz w:val="21"/>
          <w:szCs w:val="21"/>
          <w:highlight w:val="none"/>
        </w:rPr>
      </w:pPr>
      <w:r>
        <w:rPr>
          <w:rFonts w:hint="eastAsia" w:ascii="宋体" w:hAnsi="宋体" w:eastAsia="宋体" w:cs="宋体"/>
          <w:color w:val="auto"/>
          <w:sz w:val="21"/>
          <w:szCs w:val="21"/>
          <w:highlight w:val="none"/>
          <w:shd w:val="clear" w:color="auto" w:fill="FFFFFF"/>
          <w:lang w:val="en-US" w:eastAsia="zh-CN"/>
        </w:rPr>
        <w:t>③</w:t>
      </w:r>
      <w:r>
        <w:rPr>
          <w:rFonts w:ascii="宋体" w:hAnsi="宋体" w:eastAsia="宋体" w:cs="宋体"/>
          <w:color w:val="auto"/>
          <w:sz w:val="21"/>
          <w:szCs w:val="21"/>
          <w:highlight w:val="none"/>
          <w:shd w:val="clear" w:color="auto" w:fill="FFFFFF"/>
        </w:rPr>
        <w:t>计生特殊家庭住院护理补贴保险项目</w:t>
      </w:r>
      <w:r>
        <w:rPr>
          <w:rFonts w:ascii="宋体" w:hAnsi="宋体" w:eastAsia="宋体" w:cs="宋体"/>
          <w:color w:val="auto"/>
          <w:sz w:val="21"/>
          <w:szCs w:val="21"/>
          <w:highlight w:val="none"/>
        </w:rPr>
        <w:t>服务期限为1年，</w:t>
      </w:r>
      <w:r>
        <w:rPr>
          <w:rFonts w:ascii="宋体" w:hAnsi="宋体" w:eastAsia="宋体" w:cs="宋体"/>
          <w:color w:val="auto"/>
          <w:sz w:val="21"/>
          <w:szCs w:val="21"/>
          <w:highlight w:val="none"/>
        </w:rPr>
        <w:t>具体服务期限从202</w:t>
      </w:r>
      <w:r>
        <w:rPr>
          <w:rFonts w:hint="eastAsia" w:ascii="宋体" w:hAnsi="宋体" w:eastAsia="宋体" w:cs="宋体"/>
          <w:color w:val="auto"/>
          <w:sz w:val="21"/>
          <w:szCs w:val="21"/>
          <w:highlight w:val="none"/>
          <w:lang w:val="en-US" w:eastAsia="zh-CN"/>
        </w:rPr>
        <w:t>5</w:t>
      </w:r>
      <w:r>
        <w:rPr>
          <w:rFonts w:ascii="宋体" w:hAnsi="宋体" w:eastAsia="宋体" w:cs="宋体"/>
          <w:color w:val="auto"/>
          <w:sz w:val="21"/>
          <w:szCs w:val="21"/>
          <w:highlight w:val="none"/>
        </w:rPr>
        <w:t>年11月1日至202</w:t>
      </w:r>
      <w:r>
        <w:rPr>
          <w:rFonts w:hint="eastAsia" w:ascii="宋体" w:hAnsi="宋体" w:eastAsia="宋体" w:cs="宋体"/>
          <w:color w:val="auto"/>
          <w:sz w:val="21"/>
          <w:szCs w:val="21"/>
          <w:highlight w:val="none"/>
          <w:lang w:val="en-US" w:eastAsia="zh-CN"/>
        </w:rPr>
        <w:t>6</w:t>
      </w:r>
      <w:r>
        <w:rPr>
          <w:rFonts w:ascii="宋体" w:hAnsi="宋体" w:eastAsia="宋体" w:cs="宋体"/>
          <w:color w:val="auto"/>
          <w:sz w:val="21"/>
          <w:szCs w:val="21"/>
          <w:highlight w:val="none"/>
        </w:rPr>
        <w:t>年10月31日。</w:t>
      </w:r>
    </w:p>
    <w:p w14:paraId="69767254">
      <w:pPr>
        <w:pStyle w:val="6"/>
        <w:spacing w:before="105" w:after="105"/>
        <w:ind w:firstLine="482"/>
        <w:jc w:val="left"/>
        <w:rPr>
          <w:color w:val="auto"/>
          <w:sz w:val="21"/>
          <w:szCs w:val="21"/>
          <w:highlight w:val="none"/>
        </w:rPr>
      </w:pPr>
      <w:r>
        <w:rPr>
          <w:rFonts w:ascii="宋体" w:hAnsi="宋体" w:eastAsia="宋体" w:cs="宋体"/>
          <w:b/>
          <w:color w:val="auto"/>
          <w:sz w:val="21"/>
          <w:szCs w:val="21"/>
          <w:highlight w:val="none"/>
          <w:shd w:val="clear" w:color="auto" w:fill="FFFFFF"/>
        </w:rPr>
        <w:t>3、保险内容及要求</w:t>
      </w:r>
    </w:p>
    <w:p w14:paraId="1089517D">
      <w:pPr>
        <w:pStyle w:val="6"/>
        <w:spacing w:before="120" w:after="120"/>
        <w:ind w:firstLine="480"/>
        <w:jc w:val="left"/>
        <w:rPr>
          <w:color w:val="auto"/>
          <w:sz w:val="21"/>
          <w:szCs w:val="21"/>
          <w:highlight w:val="none"/>
        </w:rPr>
      </w:pPr>
      <w:r>
        <w:rPr>
          <w:rFonts w:ascii="宋体" w:hAnsi="宋体" w:eastAsia="宋体" w:cs="宋体"/>
          <w:color w:val="auto"/>
          <w:sz w:val="21"/>
          <w:szCs w:val="21"/>
          <w:highlight w:val="none"/>
        </w:rPr>
        <w:t>★</w:t>
      </w:r>
      <w:r>
        <w:rPr>
          <w:rFonts w:ascii="宋体" w:hAnsi="宋体" w:eastAsia="宋体" w:cs="宋体"/>
          <w:b/>
          <w:color w:val="auto"/>
          <w:sz w:val="21"/>
          <w:szCs w:val="21"/>
          <w:highlight w:val="none"/>
          <w:shd w:val="clear" w:color="auto" w:fill="FFFFFF"/>
        </w:rPr>
        <w:t>3.1、保险金额和保险费</w:t>
      </w:r>
    </w:p>
    <w:p w14:paraId="1C0978D1">
      <w:pPr>
        <w:pStyle w:val="6"/>
        <w:spacing w:before="120" w:after="120"/>
        <w:ind w:firstLine="480"/>
        <w:jc w:val="left"/>
        <w:rPr>
          <w:color w:val="auto"/>
          <w:sz w:val="21"/>
          <w:szCs w:val="21"/>
          <w:highlight w:val="none"/>
        </w:rPr>
      </w:pPr>
      <w:r>
        <w:rPr>
          <w:rFonts w:ascii="宋体" w:hAnsi="宋体" w:eastAsia="宋体" w:cs="宋体"/>
          <w:b/>
          <w:color w:val="auto"/>
          <w:sz w:val="21"/>
          <w:szCs w:val="21"/>
          <w:highlight w:val="none"/>
          <w:shd w:val="clear" w:color="auto" w:fill="FFFFFF"/>
        </w:rPr>
        <w:t>3.1.1、福安市计划生育家庭意外伤害保险保险金额</w:t>
      </w:r>
    </w:p>
    <w:tbl>
      <w:tblPr>
        <w:tblStyle w:val="4"/>
        <w:tblW w:w="0" w:type="auto"/>
        <w:jc w:val="center"/>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2388"/>
        <w:gridCol w:w="5918"/>
      </w:tblGrid>
      <w:tr w14:paraId="36F9739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2388" w:type="dxa"/>
            <w:tcBorders>
              <w:top w:val="single" w:color="000000" w:sz="4" w:space="0"/>
              <w:left w:val="single" w:color="000000" w:sz="4" w:space="0"/>
              <w:bottom w:val="single" w:color="000000" w:sz="4" w:space="0"/>
              <w:right w:val="single" w:color="000000" w:sz="4" w:space="0"/>
            </w:tcBorders>
            <w:shd w:val="clear" w:color="auto" w:fill="FFFFFF"/>
            <w:noWrap w:val="0"/>
            <w:tcMar>
              <w:top w:w="0" w:type="dxa"/>
              <w:left w:w="105" w:type="dxa"/>
              <w:bottom w:w="0" w:type="dxa"/>
              <w:right w:w="105" w:type="dxa"/>
            </w:tcMar>
            <w:vAlign w:val="top"/>
          </w:tcPr>
          <w:p w14:paraId="2F27B561">
            <w:pPr>
              <w:pStyle w:val="6"/>
              <w:spacing w:after="150"/>
              <w:jc w:val="center"/>
              <w:rPr>
                <w:color w:val="auto"/>
                <w:sz w:val="21"/>
                <w:szCs w:val="21"/>
                <w:highlight w:val="none"/>
              </w:rPr>
            </w:pPr>
            <w:r>
              <w:rPr>
                <w:rFonts w:ascii="宋体" w:hAnsi="宋体" w:eastAsia="宋体" w:cs="宋体"/>
                <w:b/>
                <w:color w:val="auto"/>
                <w:sz w:val="21"/>
                <w:szCs w:val="21"/>
                <w:highlight w:val="none"/>
              </w:rPr>
              <w:t>保障项目</w:t>
            </w:r>
          </w:p>
        </w:tc>
        <w:tc>
          <w:tcPr>
            <w:tcW w:w="5918" w:type="dxa"/>
            <w:tcBorders>
              <w:top w:val="single" w:color="000000" w:sz="4" w:space="0"/>
              <w:left w:val="nil"/>
              <w:bottom w:val="single" w:color="000000" w:sz="4" w:space="0"/>
              <w:right w:val="single" w:color="000000" w:sz="4" w:space="0"/>
            </w:tcBorders>
            <w:shd w:val="clear" w:color="auto" w:fill="FFFFFF"/>
            <w:noWrap w:val="0"/>
            <w:tcMar>
              <w:top w:w="0" w:type="dxa"/>
              <w:left w:w="105" w:type="dxa"/>
              <w:bottom w:w="0" w:type="dxa"/>
              <w:right w:w="105" w:type="dxa"/>
            </w:tcMar>
            <w:vAlign w:val="top"/>
          </w:tcPr>
          <w:p w14:paraId="5EF286DB">
            <w:pPr>
              <w:pStyle w:val="6"/>
              <w:spacing w:after="150"/>
              <w:jc w:val="center"/>
              <w:rPr>
                <w:color w:val="auto"/>
                <w:sz w:val="21"/>
                <w:szCs w:val="21"/>
                <w:highlight w:val="none"/>
              </w:rPr>
            </w:pPr>
            <w:r>
              <w:rPr>
                <w:rFonts w:ascii="宋体" w:hAnsi="宋体" w:eastAsia="宋体" w:cs="宋体"/>
                <w:b/>
                <w:color w:val="auto"/>
                <w:sz w:val="21"/>
                <w:szCs w:val="21"/>
                <w:highlight w:val="none"/>
              </w:rPr>
              <w:t>最低保险金额</w:t>
            </w:r>
          </w:p>
        </w:tc>
      </w:tr>
      <w:tr w14:paraId="6682873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2388" w:type="dxa"/>
            <w:tcBorders>
              <w:top w:val="nil"/>
              <w:left w:val="single" w:color="000000" w:sz="4" w:space="0"/>
              <w:bottom w:val="single" w:color="000000" w:sz="4" w:space="0"/>
              <w:right w:val="single" w:color="000000" w:sz="4" w:space="0"/>
            </w:tcBorders>
            <w:shd w:val="clear" w:color="auto" w:fill="FFFFFF"/>
            <w:noWrap w:val="0"/>
            <w:tcMar>
              <w:top w:w="0" w:type="dxa"/>
              <w:left w:w="105" w:type="dxa"/>
              <w:bottom w:w="0" w:type="dxa"/>
              <w:right w:w="105" w:type="dxa"/>
            </w:tcMar>
            <w:vAlign w:val="top"/>
          </w:tcPr>
          <w:p w14:paraId="17CC44BC">
            <w:pPr>
              <w:pStyle w:val="6"/>
              <w:spacing w:after="150"/>
              <w:jc w:val="center"/>
              <w:rPr>
                <w:color w:val="auto"/>
                <w:sz w:val="21"/>
                <w:szCs w:val="21"/>
                <w:highlight w:val="none"/>
              </w:rPr>
            </w:pPr>
            <w:r>
              <w:rPr>
                <w:rFonts w:ascii="宋体" w:hAnsi="宋体" w:eastAsia="宋体" w:cs="宋体"/>
                <w:color w:val="auto"/>
                <w:sz w:val="21"/>
                <w:szCs w:val="21"/>
                <w:highlight w:val="none"/>
              </w:rPr>
              <w:t>意外伤害身故保障</w:t>
            </w:r>
          </w:p>
        </w:tc>
        <w:tc>
          <w:tcPr>
            <w:tcW w:w="5918" w:type="dxa"/>
            <w:tcBorders>
              <w:top w:val="nil"/>
              <w:left w:val="nil"/>
              <w:bottom w:val="single" w:color="000000" w:sz="4" w:space="0"/>
              <w:right w:val="single" w:color="000000" w:sz="4" w:space="0"/>
            </w:tcBorders>
            <w:shd w:val="clear" w:color="auto" w:fill="FFFFFF"/>
            <w:noWrap w:val="0"/>
            <w:tcMar>
              <w:top w:w="0" w:type="dxa"/>
              <w:left w:w="105" w:type="dxa"/>
              <w:bottom w:w="0" w:type="dxa"/>
              <w:right w:w="105" w:type="dxa"/>
            </w:tcMar>
            <w:vAlign w:val="top"/>
          </w:tcPr>
          <w:p w14:paraId="3CE8EB7E">
            <w:pPr>
              <w:pStyle w:val="6"/>
              <w:spacing w:after="150"/>
              <w:jc w:val="center"/>
              <w:rPr>
                <w:color w:val="auto"/>
                <w:sz w:val="21"/>
                <w:szCs w:val="21"/>
                <w:highlight w:val="none"/>
              </w:rPr>
            </w:pPr>
            <w:r>
              <w:rPr>
                <w:rFonts w:ascii="宋体" w:hAnsi="宋体" w:eastAsia="宋体" w:cs="宋体"/>
                <w:color w:val="auto"/>
                <w:sz w:val="21"/>
                <w:szCs w:val="21"/>
                <w:highlight w:val="none"/>
              </w:rPr>
              <w:t>18万元/年/户（由家庭成员均分）</w:t>
            </w:r>
          </w:p>
        </w:tc>
      </w:tr>
      <w:tr w14:paraId="109582D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2388" w:type="dxa"/>
            <w:tcBorders>
              <w:top w:val="nil"/>
              <w:left w:val="single" w:color="000000" w:sz="4" w:space="0"/>
              <w:bottom w:val="single" w:color="000000" w:sz="4" w:space="0"/>
              <w:right w:val="single" w:color="000000" w:sz="4" w:space="0"/>
            </w:tcBorders>
            <w:shd w:val="clear" w:color="auto" w:fill="FFFFFF"/>
            <w:noWrap w:val="0"/>
            <w:tcMar>
              <w:top w:w="0" w:type="dxa"/>
              <w:left w:w="105" w:type="dxa"/>
              <w:bottom w:w="0" w:type="dxa"/>
              <w:right w:w="105" w:type="dxa"/>
            </w:tcMar>
            <w:vAlign w:val="top"/>
          </w:tcPr>
          <w:p w14:paraId="03716008">
            <w:pPr>
              <w:pStyle w:val="6"/>
              <w:spacing w:after="150"/>
              <w:jc w:val="center"/>
              <w:rPr>
                <w:color w:val="auto"/>
                <w:sz w:val="21"/>
                <w:szCs w:val="21"/>
                <w:highlight w:val="none"/>
              </w:rPr>
            </w:pPr>
            <w:r>
              <w:rPr>
                <w:rFonts w:ascii="宋体" w:hAnsi="宋体" w:eastAsia="宋体" w:cs="宋体"/>
                <w:color w:val="auto"/>
                <w:sz w:val="21"/>
                <w:szCs w:val="21"/>
                <w:highlight w:val="none"/>
              </w:rPr>
              <w:t>意外伤残保障</w:t>
            </w:r>
          </w:p>
        </w:tc>
        <w:tc>
          <w:tcPr>
            <w:tcW w:w="5918" w:type="dxa"/>
            <w:tcBorders>
              <w:top w:val="nil"/>
              <w:left w:val="nil"/>
              <w:bottom w:val="single" w:color="000000" w:sz="4" w:space="0"/>
              <w:right w:val="single" w:color="000000" w:sz="4" w:space="0"/>
            </w:tcBorders>
            <w:shd w:val="clear" w:color="auto" w:fill="FFFFFF"/>
            <w:noWrap w:val="0"/>
            <w:tcMar>
              <w:top w:w="0" w:type="dxa"/>
              <w:left w:w="105" w:type="dxa"/>
              <w:bottom w:w="0" w:type="dxa"/>
              <w:right w:w="105" w:type="dxa"/>
            </w:tcMar>
            <w:vAlign w:val="top"/>
          </w:tcPr>
          <w:p w14:paraId="6C7B1E26">
            <w:pPr>
              <w:pStyle w:val="6"/>
              <w:spacing w:after="150"/>
              <w:jc w:val="center"/>
              <w:rPr>
                <w:color w:val="auto"/>
                <w:sz w:val="21"/>
                <w:szCs w:val="21"/>
                <w:highlight w:val="none"/>
              </w:rPr>
            </w:pPr>
            <w:r>
              <w:rPr>
                <w:rFonts w:ascii="宋体" w:hAnsi="宋体" w:eastAsia="宋体" w:cs="宋体"/>
                <w:color w:val="auto"/>
                <w:sz w:val="21"/>
                <w:szCs w:val="21"/>
                <w:highlight w:val="none"/>
              </w:rPr>
              <w:t>18万元/年/户（由家庭成员均分）</w:t>
            </w:r>
          </w:p>
        </w:tc>
      </w:tr>
      <w:tr w14:paraId="16ACFF6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2388" w:type="dxa"/>
            <w:tcBorders>
              <w:top w:val="nil"/>
              <w:left w:val="single" w:color="000000" w:sz="4" w:space="0"/>
              <w:bottom w:val="single" w:color="000000" w:sz="4" w:space="0"/>
              <w:right w:val="single" w:color="000000" w:sz="4" w:space="0"/>
            </w:tcBorders>
            <w:shd w:val="clear" w:color="auto" w:fill="FFFFFF"/>
            <w:noWrap w:val="0"/>
            <w:tcMar>
              <w:top w:w="0" w:type="dxa"/>
              <w:left w:w="105" w:type="dxa"/>
              <w:bottom w:w="0" w:type="dxa"/>
              <w:right w:w="105" w:type="dxa"/>
            </w:tcMar>
            <w:vAlign w:val="top"/>
          </w:tcPr>
          <w:p w14:paraId="129F1B4C">
            <w:pPr>
              <w:pStyle w:val="6"/>
              <w:spacing w:after="150"/>
              <w:jc w:val="center"/>
              <w:rPr>
                <w:color w:val="auto"/>
                <w:sz w:val="21"/>
                <w:szCs w:val="21"/>
                <w:highlight w:val="none"/>
              </w:rPr>
            </w:pPr>
            <w:r>
              <w:rPr>
                <w:rFonts w:ascii="宋体" w:hAnsi="宋体" w:eastAsia="宋体" w:cs="宋体"/>
                <w:color w:val="auto"/>
                <w:sz w:val="21"/>
                <w:szCs w:val="21"/>
                <w:highlight w:val="none"/>
              </w:rPr>
              <w:t>意外伤害医疗保障</w:t>
            </w:r>
          </w:p>
        </w:tc>
        <w:tc>
          <w:tcPr>
            <w:tcW w:w="5918" w:type="dxa"/>
            <w:tcBorders>
              <w:top w:val="nil"/>
              <w:left w:val="nil"/>
              <w:bottom w:val="single" w:color="000000" w:sz="4" w:space="0"/>
              <w:right w:val="single" w:color="000000" w:sz="4" w:space="0"/>
            </w:tcBorders>
            <w:shd w:val="clear" w:color="auto" w:fill="FFFFFF"/>
            <w:noWrap w:val="0"/>
            <w:tcMar>
              <w:top w:w="0" w:type="dxa"/>
              <w:left w:w="105" w:type="dxa"/>
              <w:bottom w:w="0" w:type="dxa"/>
              <w:right w:w="105" w:type="dxa"/>
            </w:tcMar>
            <w:vAlign w:val="top"/>
          </w:tcPr>
          <w:p w14:paraId="6F56B2B3">
            <w:pPr>
              <w:pStyle w:val="6"/>
              <w:spacing w:after="150"/>
              <w:jc w:val="center"/>
              <w:rPr>
                <w:color w:val="auto"/>
                <w:sz w:val="21"/>
                <w:szCs w:val="21"/>
                <w:highlight w:val="none"/>
              </w:rPr>
            </w:pPr>
            <w:r>
              <w:rPr>
                <w:rFonts w:ascii="宋体" w:hAnsi="宋体" w:eastAsia="宋体" w:cs="宋体"/>
                <w:color w:val="auto"/>
                <w:sz w:val="21"/>
                <w:szCs w:val="21"/>
                <w:highlight w:val="none"/>
              </w:rPr>
              <w:t>3万元/年/户（由家庭成员共享）</w:t>
            </w:r>
          </w:p>
        </w:tc>
      </w:tr>
      <w:tr w14:paraId="783621B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2388" w:type="dxa"/>
            <w:tcBorders>
              <w:top w:val="nil"/>
              <w:left w:val="single" w:color="000000" w:sz="4" w:space="0"/>
              <w:bottom w:val="single" w:color="000000" w:sz="4" w:space="0"/>
              <w:right w:val="single" w:color="000000" w:sz="4" w:space="0"/>
            </w:tcBorders>
            <w:shd w:val="clear" w:color="auto" w:fill="FFFFFF"/>
            <w:noWrap w:val="0"/>
            <w:tcMar>
              <w:top w:w="0" w:type="dxa"/>
              <w:left w:w="105" w:type="dxa"/>
              <w:bottom w:w="0" w:type="dxa"/>
              <w:right w:w="105" w:type="dxa"/>
            </w:tcMar>
            <w:vAlign w:val="top"/>
          </w:tcPr>
          <w:p w14:paraId="60597949">
            <w:pPr>
              <w:pStyle w:val="6"/>
              <w:spacing w:after="150"/>
              <w:jc w:val="center"/>
              <w:rPr>
                <w:color w:val="auto"/>
                <w:sz w:val="21"/>
                <w:szCs w:val="21"/>
                <w:highlight w:val="none"/>
              </w:rPr>
            </w:pPr>
            <w:r>
              <w:rPr>
                <w:rFonts w:ascii="宋体" w:hAnsi="宋体" w:eastAsia="宋体" w:cs="宋体"/>
                <w:b/>
                <w:color w:val="auto"/>
                <w:sz w:val="21"/>
                <w:szCs w:val="21"/>
                <w:highlight w:val="none"/>
              </w:rPr>
              <w:t>年保险费</w:t>
            </w:r>
          </w:p>
        </w:tc>
        <w:tc>
          <w:tcPr>
            <w:tcW w:w="5918" w:type="dxa"/>
            <w:tcBorders>
              <w:top w:val="nil"/>
              <w:left w:val="nil"/>
              <w:bottom w:val="single" w:color="000000" w:sz="4" w:space="0"/>
              <w:right w:val="single" w:color="000000" w:sz="4" w:space="0"/>
            </w:tcBorders>
            <w:shd w:val="clear" w:color="auto" w:fill="FFFFFF"/>
            <w:noWrap w:val="0"/>
            <w:tcMar>
              <w:top w:w="0" w:type="dxa"/>
              <w:left w:w="105" w:type="dxa"/>
              <w:bottom w:w="0" w:type="dxa"/>
              <w:right w:w="105" w:type="dxa"/>
            </w:tcMar>
            <w:vAlign w:val="top"/>
          </w:tcPr>
          <w:p w14:paraId="36EDBB66">
            <w:pPr>
              <w:pStyle w:val="6"/>
              <w:spacing w:after="150"/>
              <w:jc w:val="center"/>
              <w:rPr>
                <w:color w:val="auto"/>
                <w:sz w:val="21"/>
                <w:szCs w:val="21"/>
                <w:highlight w:val="none"/>
              </w:rPr>
            </w:pPr>
            <w:r>
              <w:rPr>
                <w:rFonts w:ascii="宋体" w:hAnsi="宋体" w:eastAsia="宋体" w:cs="宋体"/>
                <w:b/>
                <w:color w:val="auto"/>
                <w:sz w:val="21"/>
                <w:szCs w:val="21"/>
                <w:highlight w:val="none"/>
              </w:rPr>
              <w:t>100元/计划生育家庭户/年</w:t>
            </w:r>
          </w:p>
        </w:tc>
      </w:tr>
    </w:tbl>
    <w:p w14:paraId="585152EE">
      <w:pPr>
        <w:pStyle w:val="6"/>
        <w:spacing w:before="120" w:after="120"/>
        <w:ind w:firstLine="480"/>
        <w:jc w:val="left"/>
        <w:rPr>
          <w:color w:val="auto"/>
          <w:sz w:val="21"/>
          <w:szCs w:val="21"/>
          <w:highlight w:val="none"/>
        </w:rPr>
      </w:pPr>
      <w:r>
        <w:rPr>
          <w:rFonts w:ascii="宋体" w:hAnsi="宋体" w:eastAsia="宋体" w:cs="宋体"/>
          <w:b/>
          <w:color w:val="auto"/>
          <w:sz w:val="21"/>
          <w:szCs w:val="21"/>
          <w:highlight w:val="none"/>
          <w:shd w:val="clear" w:color="auto" w:fill="FFFFFF"/>
        </w:rPr>
        <w:t>3.1.2、福安市计生特殊家庭住院护理保险保险金额</w:t>
      </w:r>
    </w:p>
    <w:tbl>
      <w:tblPr>
        <w:tblStyle w:val="4"/>
        <w:tblW w:w="0" w:type="auto"/>
        <w:jc w:val="center"/>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2388"/>
        <w:gridCol w:w="5918"/>
      </w:tblGrid>
      <w:tr w14:paraId="74B8283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2388" w:type="dxa"/>
            <w:tcBorders>
              <w:top w:val="single" w:color="000000" w:sz="4" w:space="0"/>
              <w:left w:val="single" w:color="000000" w:sz="4" w:space="0"/>
              <w:bottom w:val="single" w:color="000000" w:sz="4" w:space="0"/>
              <w:right w:val="single" w:color="000000" w:sz="4" w:space="0"/>
            </w:tcBorders>
            <w:shd w:val="clear" w:color="auto" w:fill="FFFFFF"/>
            <w:noWrap w:val="0"/>
            <w:tcMar>
              <w:top w:w="0" w:type="dxa"/>
              <w:left w:w="105" w:type="dxa"/>
              <w:bottom w:w="0" w:type="dxa"/>
              <w:right w:w="105" w:type="dxa"/>
            </w:tcMar>
            <w:vAlign w:val="top"/>
          </w:tcPr>
          <w:p w14:paraId="73D2885C">
            <w:pPr>
              <w:pStyle w:val="6"/>
              <w:spacing w:after="150"/>
              <w:jc w:val="center"/>
              <w:rPr>
                <w:color w:val="auto"/>
                <w:sz w:val="21"/>
                <w:szCs w:val="21"/>
                <w:highlight w:val="none"/>
              </w:rPr>
            </w:pPr>
            <w:r>
              <w:rPr>
                <w:rFonts w:ascii="宋体" w:hAnsi="宋体" w:eastAsia="宋体" w:cs="宋体"/>
                <w:b/>
                <w:color w:val="auto"/>
                <w:sz w:val="21"/>
                <w:szCs w:val="21"/>
                <w:highlight w:val="none"/>
              </w:rPr>
              <w:t>保障项目</w:t>
            </w:r>
          </w:p>
        </w:tc>
        <w:tc>
          <w:tcPr>
            <w:tcW w:w="5918" w:type="dxa"/>
            <w:tcBorders>
              <w:top w:val="single" w:color="000000" w:sz="4" w:space="0"/>
              <w:left w:val="nil"/>
              <w:bottom w:val="single" w:color="000000" w:sz="4" w:space="0"/>
              <w:right w:val="single" w:color="000000" w:sz="4" w:space="0"/>
            </w:tcBorders>
            <w:shd w:val="clear" w:color="auto" w:fill="FFFFFF"/>
            <w:noWrap w:val="0"/>
            <w:tcMar>
              <w:top w:w="0" w:type="dxa"/>
              <w:left w:w="105" w:type="dxa"/>
              <w:bottom w:w="0" w:type="dxa"/>
              <w:right w:w="105" w:type="dxa"/>
            </w:tcMar>
            <w:vAlign w:val="top"/>
          </w:tcPr>
          <w:p w14:paraId="61DAF025">
            <w:pPr>
              <w:pStyle w:val="6"/>
              <w:spacing w:after="150"/>
              <w:jc w:val="center"/>
              <w:rPr>
                <w:color w:val="auto"/>
                <w:sz w:val="21"/>
                <w:szCs w:val="21"/>
                <w:highlight w:val="none"/>
              </w:rPr>
            </w:pPr>
            <w:r>
              <w:rPr>
                <w:rFonts w:ascii="宋体" w:hAnsi="宋体" w:eastAsia="宋体" w:cs="宋体"/>
                <w:b/>
                <w:color w:val="auto"/>
                <w:sz w:val="21"/>
                <w:szCs w:val="21"/>
                <w:highlight w:val="none"/>
              </w:rPr>
              <w:t>最低保险金额</w:t>
            </w:r>
          </w:p>
        </w:tc>
      </w:tr>
      <w:tr w14:paraId="374F800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2388" w:type="dxa"/>
            <w:tcBorders>
              <w:top w:val="nil"/>
              <w:left w:val="single" w:color="000000" w:sz="4" w:space="0"/>
              <w:bottom w:val="single" w:color="000000" w:sz="4" w:space="0"/>
              <w:right w:val="single" w:color="000000" w:sz="4" w:space="0"/>
            </w:tcBorders>
            <w:shd w:val="clear" w:color="auto" w:fill="FFFFFF"/>
            <w:noWrap w:val="0"/>
            <w:tcMar>
              <w:top w:w="0" w:type="dxa"/>
              <w:left w:w="105" w:type="dxa"/>
              <w:bottom w:w="0" w:type="dxa"/>
              <w:right w:w="105" w:type="dxa"/>
            </w:tcMar>
            <w:vAlign w:val="top"/>
          </w:tcPr>
          <w:p w14:paraId="3E4403CE">
            <w:pPr>
              <w:pStyle w:val="6"/>
              <w:spacing w:after="150"/>
              <w:jc w:val="center"/>
              <w:rPr>
                <w:color w:val="auto"/>
                <w:sz w:val="21"/>
                <w:szCs w:val="21"/>
                <w:highlight w:val="none"/>
              </w:rPr>
            </w:pPr>
            <w:r>
              <w:rPr>
                <w:rFonts w:ascii="宋体" w:hAnsi="宋体" w:eastAsia="宋体" w:cs="宋体"/>
                <w:color w:val="auto"/>
                <w:sz w:val="21"/>
                <w:szCs w:val="21"/>
                <w:highlight w:val="none"/>
              </w:rPr>
              <w:t>意外身故、伤残</w:t>
            </w:r>
          </w:p>
        </w:tc>
        <w:tc>
          <w:tcPr>
            <w:tcW w:w="5918" w:type="dxa"/>
            <w:tcBorders>
              <w:top w:val="nil"/>
              <w:left w:val="nil"/>
              <w:bottom w:val="single" w:color="000000" w:sz="4" w:space="0"/>
              <w:right w:val="single" w:color="000000" w:sz="4" w:space="0"/>
            </w:tcBorders>
            <w:shd w:val="clear" w:color="auto" w:fill="FFFFFF"/>
            <w:noWrap w:val="0"/>
            <w:tcMar>
              <w:top w:w="0" w:type="dxa"/>
              <w:left w:w="105" w:type="dxa"/>
              <w:bottom w:w="0" w:type="dxa"/>
              <w:right w:w="105" w:type="dxa"/>
            </w:tcMar>
            <w:vAlign w:val="top"/>
          </w:tcPr>
          <w:p w14:paraId="741C7B8E">
            <w:pPr>
              <w:pStyle w:val="6"/>
              <w:spacing w:after="150"/>
              <w:jc w:val="center"/>
              <w:rPr>
                <w:color w:val="auto"/>
                <w:sz w:val="21"/>
                <w:szCs w:val="21"/>
                <w:highlight w:val="none"/>
              </w:rPr>
            </w:pPr>
            <w:r>
              <w:rPr>
                <w:rFonts w:ascii="宋体" w:hAnsi="宋体" w:eastAsia="宋体" w:cs="宋体"/>
                <w:color w:val="auto"/>
                <w:sz w:val="21"/>
                <w:szCs w:val="21"/>
                <w:highlight w:val="none"/>
              </w:rPr>
              <w:t>20000元/年/人</w:t>
            </w:r>
          </w:p>
        </w:tc>
      </w:tr>
      <w:tr w14:paraId="5349E12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2388" w:type="dxa"/>
            <w:tcBorders>
              <w:top w:val="nil"/>
              <w:left w:val="single" w:color="000000" w:sz="4" w:space="0"/>
              <w:bottom w:val="single" w:color="000000" w:sz="4" w:space="0"/>
              <w:right w:val="single" w:color="000000" w:sz="4" w:space="0"/>
            </w:tcBorders>
            <w:shd w:val="clear" w:color="auto" w:fill="FFFFFF"/>
            <w:noWrap w:val="0"/>
            <w:tcMar>
              <w:top w:w="0" w:type="dxa"/>
              <w:left w:w="105" w:type="dxa"/>
              <w:bottom w:w="0" w:type="dxa"/>
              <w:right w:w="105" w:type="dxa"/>
            </w:tcMar>
            <w:vAlign w:val="top"/>
          </w:tcPr>
          <w:p w14:paraId="153F0DE5">
            <w:pPr>
              <w:pStyle w:val="6"/>
              <w:spacing w:before="120" w:after="150"/>
              <w:jc w:val="center"/>
              <w:rPr>
                <w:color w:val="auto"/>
                <w:sz w:val="21"/>
                <w:szCs w:val="21"/>
                <w:highlight w:val="none"/>
              </w:rPr>
            </w:pPr>
            <w:r>
              <w:rPr>
                <w:rFonts w:ascii="宋体" w:hAnsi="宋体" w:eastAsia="宋体" w:cs="宋体"/>
                <w:color w:val="auto"/>
                <w:sz w:val="21"/>
                <w:szCs w:val="21"/>
                <w:highlight w:val="none"/>
              </w:rPr>
              <w:t>意外伤害及疾病住院护理补贴</w:t>
            </w:r>
          </w:p>
        </w:tc>
        <w:tc>
          <w:tcPr>
            <w:tcW w:w="5918" w:type="dxa"/>
            <w:tcBorders>
              <w:top w:val="nil"/>
              <w:left w:val="nil"/>
              <w:bottom w:val="single" w:color="000000" w:sz="4" w:space="0"/>
              <w:right w:val="single" w:color="000000" w:sz="4" w:space="0"/>
            </w:tcBorders>
            <w:shd w:val="clear" w:color="auto" w:fill="FFFFFF"/>
            <w:noWrap w:val="0"/>
            <w:tcMar>
              <w:top w:w="0" w:type="dxa"/>
              <w:left w:w="105" w:type="dxa"/>
              <w:bottom w:w="0" w:type="dxa"/>
              <w:right w:w="105" w:type="dxa"/>
            </w:tcMar>
            <w:vAlign w:val="top"/>
          </w:tcPr>
          <w:p w14:paraId="464BB7C8">
            <w:pPr>
              <w:pStyle w:val="6"/>
              <w:spacing w:before="120" w:after="105"/>
              <w:jc w:val="left"/>
              <w:rPr>
                <w:color w:val="auto"/>
                <w:sz w:val="21"/>
                <w:szCs w:val="21"/>
                <w:highlight w:val="none"/>
              </w:rPr>
            </w:pPr>
            <w:r>
              <w:rPr>
                <w:rFonts w:ascii="宋体" w:hAnsi="宋体" w:eastAsia="宋体" w:cs="宋体"/>
                <w:color w:val="auto"/>
                <w:sz w:val="21"/>
                <w:szCs w:val="21"/>
                <w:highlight w:val="none"/>
              </w:rPr>
              <w:t>260元/天/人，单次住院最高90天，年度最高为180天，最高46800元。</w:t>
            </w:r>
          </w:p>
        </w:tc>
      </w:tr>
      <w:tr w14:paraId="60C63C4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2388" w:type="dxa"/>
            <w:tcBorders>
              <w:top w:val="nil"/>
              <w:left w:val="single" w:color="000000" w:sz="4" w:space="0"/>
              <w:bottom w:val="single" w:color="000000" w:sz="4" w:space="0"/>
              <w:right w:val="single" w:color="000000" w:sz="4" w:space="0"/>
            </w:tcBorders>
            <w:shd w:val="clear" w:color="auto" w:fill="FFFFFF"/>
            <w:noWrap w:val="0"/>
            <w:tcMar>
              <w:top w:w="0" w:type="dxa"/>
              <w:left w:w="105" w:type="dxa"/>
              <w:bottom w:w="0" w:type="dxa"/>
              <w:right w:w="105" w:type="dxa"/>
            </w:tcMar>
            <w:vAlign w:val="top"/>
          </w:tcPr>
          <w:p w14:paraId="35C3E6CC">
            <w:pPr>
              <w:pStyle w:val="6"/>
              <w:spacing w:before="120" w:after="150"/>
              <w:jc w:val="center"/>
              <w:rPr>
                <w:color w:val="auto"/>
                <w:sz w:val="21"/>
                <w:szCs w:val="21"/>
                <w:highlight w:val="none"/>
              </w:rPr>
            </w:pPr>
            <w:r>
              <w:rPr>
                <w:rFonts w:ascii="宋体" w:hAnsi="宋体" w:eastAsia="宋体" w:cs="宋体"/>
                <w:color w:val="auto"/>
                <w:sz w:val="21"/>
                <w:szCs w:val="21"/>
                <w:highlight w:val="none"/>
              </w:rPr>
              <w:t>重大疾病</w:t>
            </w:r>
          </w:p>
        </w:tc>
        <w:tc>
          <w:tcPr>
            <w:tcW w:w="5918" w:type="dxa"/>
            <w:tcBorders>
              <w:top w:val="nil"/>
              <w:left w:val="nil"/>
              <w:bottom w:val="single" w:color="000000" w:sz="4" w:space="0"/>
              <w:right w:val="single" w:color="000000" w:sz="4" w:space="0"/>
            </w:tcBorders>
            <w:shd w:val="clear" w:color="auto" w:fill="FFFFFF"/>
            <w:noWrap w:val="0"/>
            <w:tcMar>
              <w:top w:w="0" w:type="dxa"/>
              <w:left w:w="105" w:type="dxa"/>
              <w:bottom w:w="0" w:type="dxa"/>
              <w:right w:w="105" w:type="dxa"/>
            </w:tcMar>
            <w:vAlign w:val="top"/>
          </w:tcPr>
          <w:p w14:paraId="5F4777D1">
            <w:pPr>
              <w:pStyle w:val="6"/>
              <w:spacing w:before="120" w:after="150"/>
              <w:jc w:val="center"/>
              <w:rPr>
                <w:color w:val="auto"/>
                <w:sz w:val="21"/>
                <w:szCs w:val="21"/>
                <w:highlight w:val="none"/>
              </w:rPr>
            </w:pPr>
            <w:r>
              <w:rPr>
                <w:rFonts w:ascii="宋体" w:hAnsi="宋体" w:eastAsia="宋体" w:cs="宋体"/>
                <w:color w:val="auto"/>
                <w:sz w:val="21"/>
                <w:szCs w:val="21"/>
                <w:highlight w:val="none"/>
              </w:rPr>
              <w:t>10000元/年/人</w:t>
            </w:r>
          </w:p>
        </w:tc>
      </w:tr>
      <w:tr w14:paraId="7D10DAD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2388" w:type="dxa"/>
            <w:tcBorders>
              <w:top w:val="nil"/>
              <w:left w:val="single" w:color="000000" w:sz="4" w:space="0"/>
              <w:bottom w:val="single" w:color="000000" w:sz="4" w:space="0"/>
              <w:right w:val="single" w:color="000000" w:sz="4" w:space="0"/>
            </w:tcBorders>
            <w:shd w:val="clear" w:color="auto" w:fill="FFFFFF"/>
            <w:noWrap w:val="0"/>
            <w:tcMar>
              <w:top w:w="0" w:type="dxa"/>
              <w:left w:w="105" w:type="dxa"/>
              <w:bottom w:w="0" w:type="dxa"/>
              <w:right w:w="105" w:type="dxa"/>
            </w:tcMar>
            <w:vAlign w:val="top"/>
          </w:tcPr>
          <w:p w14:paraId="2695EBD5">
            <w:pPr>
              <w:pStyle w:val="6"/>
              <w:spacing w:after="150"/>
              <w:jc w:val="center"/>
              <w:rPr>
                <w:color w:val="auto"/>
                <w:sz w:val="21"/>
                <w:szCs w:val="21"/>
                <w:highlight w:val="none"/>
              </w:rPr>
            </w:pPr>
            <w:r>
              <w:rPr>
                <w:rFonts w:ascii="宋体" w:hAnsi="宋体" w:eastAsia="宋体" w:cs="宋体"/>
                <w:b/>
                <w:color w:val="auto"/>
                <w:sz w:val="21"/>
                <w:szCs w:val="21"/>
                <w:highlight w:val="none"/>
              </w:rPr>
              <w:t>年保险费</w:t>
            </w:r>
          </w:p>
        </w:tc>
        <w:tc>
          <w:tcPr>
            <w:tcW w:w="5918" w:type="dxa"/>
            <w:tcBorders>
              <w:top w:val="nil"/>
              <w:left w:val="nil"/>
              <w:bottom w:val="single" w:color="000000" w:sz="4" w:space="0"/>
              <w:right w:val="single" w:color="000000" w:sz="4" w:space="0"/>
            </w:tcBorders>
            <w:shd w:val="clear" w:color="auto" w:fill="FFFFFF"/>
            <w:noWrap w:val="0"/>
            <w:tcMar>
              <w:top w:w="0" w:type="dxa"/>
              <w:left w:w="105" w:type="dxa"/>
              <w:bottom w:w="0" w:type="dxa"/>
              <w:right w:w="105" w:type="dxa"/>
            </w:tcMar>
            <w:vAlign w:val="top"/>
          </w:tcPr>
          <w:p w14:paraId="417BBF67">
            <w:pPr>
              <w:pStyle w:val="6"/>
              <w:spacing w:after="150"/>
              <w:jc w:val="center"/>
              <w:rPr>
                <w:color w:val="auto"/>
                <w:sz w:val="21"/>
                <w:szCs w:val="21"/>
                <w:highlight w:val="none"/>
              </w:rPr>
            </w:pPr>
            <w:r>
              <w:rPr>
                <w:rFonts w:ascii="宋体" w:hAnsi="宋体" w:eastAsia="宋体" w:cs="宋体"/>
                <w:b/>
                <w:color w:val="auto"/>
                <w:sz w:val="21"/>
                <w:szCs w:val="21"/>
                <w:highlight w:val="none"/>
              </w:rPr>
              <w:t>300元/人/年</w:t>
            </w:r>
          </w:p>
        </w:tc>
      </w:tr>
    </w:tbl>
    <w:p w14:paraId="089E8754">
      <w:pPr>
        <w:pStyle w:val="6"/>
        <w:spacing w:before="120" w:after="120"/>
        <w:ind w:firstLine="480"/>
        <w:jc w:val="left"/>
        <w:rPr>
          <w:color w:val="auto"/>
          <w:sz w:val="21"/>
          <w:szCs w:val="21"/>
          <w:highlight w:val="none"/>
        </w:rPr>
      </w:pPr>
      <w:r>
        <w:rPr>
          <w:rFonts w:ascii="宋体" w:hAnsi="宋体" w:eastAsia="宋体" w:cs="宋体"/>
          <w:b/>
          <w:color w:val="auto"/>
          <w:sz w:val="21"/>
          <w:szCs w:val="21"/>
          <w:highlight w:val="none"/>
          <w:shd w:val="clear" w:color="auto" w:fill="FFFFFF"/>
        </w:rPr>
        <w:t>3.2、福安市计划生育家庭意外伤害保险责任</w:t>
      </w:r>
    </w:p>
    <w:p w14:paraId="786905AA">
      <w:pPr>
        <w:pStyle w:val="6"/>
        <w:spacing w:before="105" w:after="105"/>
        <w:ind w:firstLine="480"/>
        <w:jc w:val="left"/>
        <w:rPr>
          <w:color w:val="auto"/>
          <w:sz w:val="21"/>
          <w:szCs w:val="21"/>
          <w:highlight w:val="none"/>
        </w:rPr>
      </w:pPr>
      <w:r>
        <w:rPr>
          <w:rFonts w:ascii="宋体" w:hAnsi="宋体" w:eastAsia="宋体" w:cs="宋体"/>
          <w:color w:val="auto"/>
          <w:sz w:val="21"/>
          <w:szCs w:val="21"/>
          <w:highlight w:val="none"/>
        </w:rPr>
        <w:t>★3.2.1、意外伤害保险责任</w:t>
      </w:r>
    </w:p>
    <w:p w14:paraId="7102C468">
      <w:pPr>
        <w:pStyle w:val="6"/>
        <w:spacing w:before="105" w:after="105"/>
        <w:ind w:firstLine="480"/>
        <w:jc w:val="left"/>
        <w:rPr>
          <w:color w:val="auto"/>
          <w:sz w:val="21"/>
          <w:szCs w:val="21"/>
          <w:highlight w:val="none"/>
        </w:rPr>
      </w:pPr>
      <w:r>
        <w:rPr>
          <w:rFonts w:ascii="宋体" w:hAnsi="宋体" w:eastAsia="宋体" w:cs="宋体"/>
          <w:color w:val="auto"/>
          <w:sz w:val="21"/>
          <w:szCs w:val="21"/>
          <w:highlight w:val="none"/>
        </w:rPr>
        <w:t>在保险期间内，被保险人遭受意外伤害，并因该意外伤害导致其身故、残疾的，保险人依照下列约定给付保险金。保险人对同一个家庭中所有被保险人一次或者累计给付的意外身故和意外残疾保险金达到保险单所载的意外伤害家庭保险金额时，本保险合同对该家庭所有被保险人的意外伤害保险责任终止。</w:t>
      </w:r>
    </w:p>
    <w:p w14:paraId="45C591CF">
      <w:pPr>
        <w:pStyle w:val="6"/>
        <w:spacing w:before="105" w:after="105"/>
        <w:ind w:firstLine="480"/>
        <w:jc w:val="left"/>
        <w:rPr>
          <w:color w:val="auto"/>
          <w:sz w:val="21"/>
          <w:szCs w:val="21"/>
          <w:highlight w:val="none"/>
        </w:rPr>
      </w:pPr>
      <w:r>
        <w:rPr>
          <w:rFonts w:ascii="宋体" w:hAnsi="宋体" w:eastAsia="宋体" w:cs="宋体"/>
          <w:color w:val="auto"/>
          <w:sz w:val="21"/>
          <w:szCs w:val="21"/>
          <w:highlight w:val="none"/>
        </w:rPr>
        <w:t>a.意外身故保险金</w:t>
      </w:r>
    </w:p>
    <w:p w14:paraId="1F473895">
      <w:pPr>
        <w:pStyle w:val="6"/>
        <w:spacing w:before="105" w:after="105"/>
        <w:ind w:firstLine="480"/>
        <w:jc w:val="left"/>
        <w:rPr>
          <w:color w:val="auto"/>
          <w:sz w:val="21"/>
          <w:szCs w:val="21"/>
          <w:highlight w:val="none"/>
        </w:rPr>
      </w:pPr>
      <w:r>
        <w:rPr>
          <w:rFonts w:ascii="宋体" w:hAnsi="宋体" w:eastAsia="宋体" w:cs="宋体"/>
          <w:color w:val="auto"/>
          <w:sz w:val="21"/>
          <w:szCs w:val="21"/>
          <w:highlight w:val="none"/>
        </w:rPr>
        <w:t>被保险人自意外伤害发生之日起180日内因该意外伤害身故的，保险人按约定的保险金额给付意外身故保险金，对该被保险人的保险责任终止。</w:t>
      </w:r>
    </w:p>
    <w:p w14:paraId="4F864CBB">
      <w:pPr>
        <w:pStyle w:val="6"/>
        <w:spacing w:before="105" w:after="105"/>
        <w:ind w:firstLine="480"/>
        <w:jc w:val="left"/>
        <w:rPr>
          <w:color w:val="auto"/>
          <w:sz w:val="21"/>
          <w:szCs w:val="21"/>
          <w:highlight w:val="none"/>
        </w:rPr>
      </w:pPr>
      <w:r>
        <w:rPr>
          <w:rFonts w:ascii="宋体" w:hAnsi="宋体" w:eastAsia="宋体" w:cs="宋体"/>
          <w:color w:val="auto"/>
          <w:sz w:val="21"/>
          <w:szCs w:val="21"/>
          <w:highlight w:val="none"/>
        </w:rPr>
        <w:t>被保险人因遭受该意外伤害且自该意外伤害发生之日起下落不明，后经人民法院宣告死亡的，保险人按约定的保险金额给付意外身故保险金。但若该被保险人被宣告死亡后生还的，保险金受领人应于知道或应当知道该被保险人生还后30日内退还保险人给付的意外身故保险金。</w:t>
      </w:r>
    </w:p>
    <w:p w14:paraId="15D8CB00">
      <w:pPr>
        <w:pStyle w:val="6"/>
        <w:spacing w:before="105" w:after="105"/>
        <w:ind w:firstLine="480"/>
        <w:jc w:val="left"/>
        <w:rPr>
          <w:color w:val="auto"/>
          <w:sz w:val="21"/>
          <w:szCs w:val="21"/>
          <w:highlight w:val="none"/>
        </w:rPr>
      </w:pPr>
      <w:r>
        <w:rPr>
          <w:rFonts w:ascii="宋体" w:hAnsi="宋体" w:eastAsia="宋体" w:cs="宋体"/>
          <w:color w:val="auto"/>
          <w:sz w:val="21"/>
          <w:szCs w:val="21"/>
          <w:highlight w:val="none"/>
        </w:rPr>
        <w:t>该被保险人意外身故前保险人已向其给付约定的意外残疾保险金的，意外身故保险金应扣除已给付的保险金。</w:t>
      </w:r>
    </w:p>
    <w:p w14:paraId="7A314655">
      <w:pPr>
        <w:pStyle w:val="6"/>
        <w:spacing w:before="105" w:after="105"/>
        <w:ind w:firstLine="480"/>
        <w:jc w:val="left"/>
        <w:rPr>
          <w:color w:val="auto"/>
          <w:sz w:val="21"/>
          <w:szCs w:val="21"/>
          <w:highlight w:val="none"/>
        </w:rPr>
      </w:pPr>
      <w:r>
        <w:rPr>
          <w:rFonts w:ascii="宋体" w:hAnsi="宋体" w:eastAsia="宋体" w:cs="宋体"/>
          <w:color w:val="auto"/>
          <w:sz w:val="21"/>
          <w:szCs w:val="21"/>
          <w:highlight w:val="none"/>
        </w:rPr>
        <w:t>b.意外伤残保险金</w:t>
      </w:r>
    </w:p>
    <w:p w14:paraId="4717CDCF">
      <w:pPr>
        <w:pStyle w:val="6"/>
        <w:spacing w:before="105" w:after="105"/>
        <w:ind w:firstLine="480"/>
        <w:jc w:val="left"/>
        <w:rPr>
          <w:color w:val="auto"/>
          <w:sz w:val="21"/>
          <w:szCs w:val="21"/>
          <w:highlight w:val="none"/>
        </w:rPr>
      </w:pPr>
      <w:r>
        <w:rPr>
          <w:rFonts w:ascii="宋体" w:hAnsi="宋体" w:eastAsia="宋体" w:cs="宋体"/>
          <w:color w:val="auto"/>
          <w:sz w:val="21"/>
          <w:szCs w:val="21"/>
          <w:highlight w:val="none"/>
        </w:rPr>
        <w:t>被保险人自该意外伤害发生之日起180日内因该意外伤害造成《人身保险伤残评定标准及代码》（JR/T 0083-2013）（由中国保险监督管理委员会发布，保监发﹝2014﹞6号）（简称《评定标准及代码》）所列伤残程度之一的，保险人按《评定标准及代码》所对应伤残等级的给付比例给付意外残疾保险金。如第180日治疗仍未结束的，按当日的身体情况进行伤残评定，并据此给付意外残疾保险金。</w:t>
      </w:r>
    </w:p>
    <w:p w14:paraId="3849304D">
      <w:pPr>
        <w:pStyle w:val="6"/>
        <w:spacing w:before="105" w:after="105"/>
        <w:ind w:firstLine="480"/>
        <w:jc w:val="left"/>
        <w:rPr>
          <w:color w:val="auto"/>
          <w:sz w:val="21"/>
          <w:szCs w:val="21"/>
          <w:highlight w:val="none"/>
        </w:rPr>
      </w:pPr>
      <w:r>
        <w:rPr>
          <w:rFonts w:ascii="宋体" w:hAnsi="宋体" w:eastAsia="宋体" w:cs="宋体"/>
          <w:color w:val="auto"/>
          <w:sz w:val="21"/>
          <w:szCs w:val="21"/>
          <w:highlight w:val="none"/>
        </w:rPr>
        <w:t>（1）被保险人因同一意外伤害造成两处或两处以上伤残时，保险人根据《评定标准及代码》规定的多处伤残评定原则给付意外残疾保险金。</w:t>
      </w:r>
    </w:p>
    <w:p w14:paraId="69D457C0">
      <w:pPr>
        <w:pStyle w:val="6"/>
        <w:spacing w:before="105" w:after="105"/>
        <w:ind w:firstLine="480"/>
        <w:jc w:val="left"/>
        <w:rPr>
          <w:color w:val="auto"/>
          <w:sz w:val="21"/>
          <w:szCs w:val="21"/>
          <w:highlight w:val="none"/>
        </w:rPr>
      </w:pPr>
      <w:r>
        <w:rPr>
          <w:rFonts w:ascii="宋体" w:hAnsi="宋体" w:eastAsia="宋体" w:cs="宋体"/>
          <w:color w:val="auto"/>
          <w:sz w:val="21"/>
          <w:szCs w:val="21"/>
          <w:highlight w:val="none"/>
        </w:rPr>
        <w:t>（2）被保险人如在该意外伤害之前已有残疾，保险人按合并后的残疾程度在《评定标准及代码》中所对应伤残等级的给付比例扣除原有残疾程度在《评定标准及代码》中所对应伤残等级的给付比例，给付意外残疾保险金。</w:t>
      </w:r>
    </w:p>
    <w:p w14:paraId="168A9407">
      <w:pPr>
        <w:pStyle w:val="6"/>
        <w:spacing w:before="105" w:after="105"/>
        <w:ind w:firstLine="480"/>
        <w:jc w:val="left"/>
        <w:rPr>
          <w:color w:val="auto"/>
          <w:sz w:val="21"/>
          <w:szCs w:val="21"/>
          <w:highlight w:val="none"/>
        </w:rPr>
      </w:pPr>
      <w:r>
        <w:rPr>
          <w:rFonts w:ascii="宋体" w:hAnsi="宋体" w:eastAsia="宋体" w:cs="宋体"/>
          <w:color w:val="auto"/>
          <w:sz w:val="21"/>
          <w:szCs w:val="21"/>
          <w:highlight w:val="none"/>
        </w:rPr>
        <w:t>★3.2.2、意外伤害医疗保险责任</w:t>
      </w:r>
    </w:p>
    <w:p w14:paraId="09854F72">
      <w:pPr>
        <w:pStyle w:val="6"/>
        <w:spacing w:before="105" w:after="105"/>
        <w:ind w:firstLine="480"/>
        <w:jc w:val="left"/>
        <w:rPr>
          <w:color w:val="auto"/>
          <w:sz w:val="21"/>
          <w:szCs w:val="21"/>
          <w:highlight w:val="none"/>
        </w:rPr>
      </w:pPr>
      <w:r>
        <w:rPr>
          <w:rFonts w:ascii="宋体" w:hAnsi="宋体" w:eastAsia="宋体" w:cs="宋体"/>
          <w:color w:val="auto"/>
          <w:sz w:val="21"/>
          <w:szCs w:val="21"/>
          <w:highlight w:val="none"/>
        </w:rPr>
        <w:t>被保险人因该意外伤害在中华人民共和国境内（不包括港、澳、台地区）二级或二级以上医院或保险人认可的医疗机构进行治疗，保险人按下列约定给付意外伤害医疗保险金：</w:t>
      </w:r>
    </w:p>
    <w:p w14:paraId="321764A9">
      <w:pPr>
        <w:pStyle w:val="6"/>
        <w:spacing w:before="105" w:after="105"/>
        <w:ind w:firstLine="480"/>
        <w:jc w:val="left"/>
        <w:rPr>
          <w:color w:val="auto"/>
          <w:sz w:val="21"/>
          <w:szCs w:val="21"/>
          <w:highlight w:val="none"/>
        </w:rPr>
      </w:pPr>
      <w:r>
        <w:rPr>
          <w:rFonts w:ascii="宋体" w:hAnsi="宋体" w:eastAsia="宋体" w:cs="宋体"/>
          <w:color w:val="auto"/>
          <w:sz w:val="21"/>
          <w:szCs w:val="21"/>
          <w:highlight w:val="none"/>
        </w:rPr>
        <w:t>（1）对于被保险人在每次意外伤害中所支出的必要且合理的，符合本保险合同签发地政府颁布的基本医疗保险报销范围的医疗费用，</w:t>
      </w:r>
      <w:r>
        <w:rPr>
          <w:rFonts w:ascii="宋体" w:hAnsi="宋体" w:eastAsia="宋体" w:cs="宋体"/>
          <w:b/>
          <w:color w:val="auto"/>
          <w:sz w:val="21"/>
          <w:szCs w:val="21"/>
          <w:highlight w:val="none"/>
        </w:rPr>
        <w:t>保险人在扣除社会基本医疗保险或任何第三方（包括任何商业医疗保险）已经补偿或给付部分以及本保险合同约定的免赔额后，</w:t>
      </w:r>
      <w:r>
        <w:rPr>
          <w:rFonts w:ascii="宋体" w:hAnsi="宋体" w:eastAsia="宋体" w:cs="宋体"/>
          <w:color w:val="auto"/>
          <w:sz w:val="21"/>
          <w:szCs w:val="21"/>
          <w:highlight w:val="none"/>
        </w:rPr>
        <w:t>对其余额按本保险合同约定的给付比例给付意外伤害医疗保险金。</w:t>
      </w:r>
      <w:r>
        <w:rPr>
          <w:rFonts w:ascii="宋体" w:hAnsi="宋体" w:eastAsia="宋体" w:cs="宋体"/>
          <w:b/>
          <w:color w:val="auto"/>
          <w:sz w:val="21"/>
          <w:szCs w:val="21"/>
          <w:highlight w:val="none"/>
        </w:rPr>
        <w:t>免赔额、赔付比例由投保人、保险人双方约定，并在保险单中载明。</w:t>
      </w:r>
    </w:p>
    <w:p w14:paraId="3189402D">
      <w:pPr>
        <w:pStyle w:val="6"/>
        <w:spacing w:before="105" w:after="105"/>
        <w:ind w:firstLine="480"/>
        <w:jc w:val="left"/>
        <w:rPr>
          <w:rFonts w:hint="eastAsia" w:ascii="宋体" w:hAnsi="宋体" w:eastAsia="宋体" w:cs="宋体"/>
          <w:b/>
          <w:bCs/>
          <w:color w:val="auto"/>
          <w:sz w:val="21"/>
          <w:szCs w:val="21"/>
          <w:highlight w:val="none"/>
          <w:lang w:eastAsia="zh-CN"/>
        </w:rPr>
      </w:pPr>
      <w:r>
        <w:rPr>
          <w:rFonts w:ascii="宋体" w:hAnsi="宋体" w:eastAsia="宋体" w:cs="宋体"/>
          <w:color w:val="auto"/>
          <w:sz w:val="21"/>
          <w:szCs w:val="21"/>
          <w:highlight w:val="none"/>
        </w:rPr>
        <w:t>（2）保险期间届满被保险人治疗仍未结束的，保险人承担给付保险金的期限可按下列约定计算：门诊治疗者，自保险期间届满次日起计算，以15日为限；保险期间届满被保险人仍在住院治疗的，自保险期间届满次日起计算，至出院之日止，最长以90日为限。</w:t>
      </w:r>
    </w:p>
    <w:p w14:paraId="14E8A4E6">
      <w:pPr>
        <w:pStyle w:val="6"/>
        <w:spacing w:before="105" w:after="105"/>
        <w:ind w:firstLine="480"/>
        <w:jc w:val="left"/>
        <w:rPr>
          <w:color w:val="auto"/>
          <w:sz w:val="21"/>
          <w:szCs w:val="21"/>
          <w:highlight w:val="none"/>
        </w:rPr>
      </w:pPr>
      <w:r>
        <w:rPr>
          <w:rFonts w:ascii="宋体" w:hAnsi="宋体" w:eastAsia="宋体" w:cs="宋体"/>
          <w:color w:val="auto"/>
          <w:sz w:val="21"/>
          <w:szCs w:val="21"/>
          <w:highlight w:val="none"/>
        </w:rPr>
        <w:t>（3）保险人对同一个家庭中所有被保险人一次或者累计给付的意外伤害医疗保险金达到保险单所载的意外伤害医疗家庭保险金额时，本保险合同对该家庭所有被保险人的意外伤害医疗保险责任终止。</w:t>
      </w:r>
    </w:p>
    <w:p w14:paraId="26BD2BDC">
      <w:pPr>
        <w:pStyle w:val="6"/>
        <w:spacing w:before="105" w:after="105"/>
        <w:ind w:firstLine="480"/>
        <w:jc w:val="left"/>
        <w:rPr>
          <w:rFonts w:ascii="宋体" w:hAnsi="宋体" w:eastAsia="宋体" w:cs="宋体"/>
          <w:color w:val="auto"/>
          <w:sz w:val="21"/>
          <w:szCs w:val="21"/>
          <w:highlight w:val="none"/>
        </w:rPr>
      </w:pPr>
      <w:r>
        <w:rPr>
          <w:rFonts w:ascii="宋体" w:hAnsi="宋体" w:eastAsia="宋体" w:cs="宋体"/>
          <w:color w:val="auto"/>
          <w:sz w:val="21"/>
          <w:szCs w:val="21"/>
          <w:highlight w:val="none"/>
        </w:rPr>
        <w:t>（4）意外伤害医疗保险责任适用补偿原则。被保险人通过任何途径所获得的医疗费用补偿金额总和以其实际支出的医疗费用金额为限。被保险人已经从社会基本医疗保险或任何第三方（包括任何商业医疗保险）获得相关医疗费用补偿的，保险人仅对扣除已获得补偿后的剩余医疗费用，按照合同约定承担给付保险金责任。</w:t>
      </w:r>
    </w:p>
    <w:p w14:paraId="3AC3D31A">
      <w:pPr>
        <w:pStyle w:val="6"/>
        <w:spacing w:before="105" w:after="105"/>
        <w:ind w:firstLine="480"/>
        <w:jc w:val="left"/>
        <w:rPr>
          <w:color w:val="auto"/>
          <w:sz w:val="21"/>
          <w:szCs w:val="21"/>
          <w:highlight w:val="none"/>
        </w:rPr>
      </w:pPr>
      <w:r>
        <w:rPr>
          <w:rFonts w:ascii="宋体" w:hAnsi="宋体" w:eastAsia="宋体" w:cs="宋体"/>
          <w:color w:val="auto"/>
          <w:sz w:val="21"/>
          <w:szCs w:val="21"/>
          <w:highlight w:val="none"/>
        </w:rPr>
        <w:t>3.2.3、责任免除</w:t>
      </w:r>
      <w:r>
        <w:rPr>
          <w:color w:val="auto"/>
          <w:sz w:val="21"/>
          <w:szCs w:val="21"/>
          <w:highlight w:val="none"/>
        </w:rPr>
        <w:t xml:space="preserve"> </w:t>
      </w:r>
      <w:r>
        <w:rPr>
          <w:rFonts w:ascii="宋体" w:hAnsi="宋体" w:eastAsia="宋体" w:cs="宋体"/>
          <w:b/>
          <w:color w:val="auto"/>
          <w:sz w:val="21"/>
          <w:szCs w:val="21"/>
          <w:highlight w:val="none"/>
        </w:rPr>
        <w:t>（项号1）</w:t>
      </w:r>
    </w:p>
    <w:p w14:paraId="1A005E4A">
      <w:pPr>
        <w:pStyle w:val="6"/>
        <w:spacing w:before="105" w:after="105"/>
        <w:ind w:firstLine="480"/>
        <w:jc w:val="left"/>
        <w:rPr>
          <w:color w:val="auto"/>
          <w:sz w:val="21"/>
          <w:szCs w:val="21"/>
          <w:highlight w:val="none"/>
        </w:rPr>
      </w:pPr>
      <w:r>
        <w:rPr>
          <w:rFonts w:ascii="宋体" w:hAnsi="宋体" w:eastAsia="宋体" w:cs="宋体"/>
          <w:color w:val="auto"/>
          <w:sz w:val="21"/>
          <w:szCs w:val="21"/>
          <w:highlight w:val="none"/>
        </w:rPr>
        <w:t>因下列情形之一，导致被保险人身故、残疾或支出医疗费用的，保险人不承担给付保险金责任：</w:t>
      </w:r>
    </w:p>
    <w:p w14:paraId="24897213">
      <w:pPr>
        <w:pStyle w:val="6"/>
        <w:spacing w:before="105" w:after="105"/>
        <w:ind w:firstLine="480"/>
        <w:jc w:val="left"/>
        <w:rPr>
          <w:color w:val="auto"/>
          <w:sz w:val="21"/>
          <w:szCs w:val="21"/>
          <w:highlight w:val="none"/>
        </w:rPr>
      </w:pPr>
      <w:r>
        <w:rPr>
          <w:rFonts w:ascii="微软雅黑" w:hAnsi="微软雅黑" w:eastAsia="微软雅黑" w:cs="微软雅黑"/>
          <w:color w:val="auto"/>
          <w:sz w:val="21"/>
          <w:szCs w:val="21"/>
          <w:highlight w:val="none"/>
        </w:rPr>
        <w:t>①</w:t>
      </w:r>
      <w:r>
        <w:rPr>
          <w:rFonts w:ascii="宋体" w:hAnsi="宋体" w:eastAsia="宋体" w:cs="宋体"/>
          <w:color w:val="auto"/>
          <w:sz w:val="21"/>
          <w:szCs w:val="21"/>
          <w:highlight w:val="none"/>
        </w:rPr>
        <w:t>投保人、受益人的故意行为；</w:t>
      </w:r>
    </w:p>
    <w:p w14:paraId="7728388F">
      <w:pPr>
        <w:pStyle w:val="6"/>
        <w:spacing w:before="105" w:after="105"/>
        <w:ind w:firstLine="480"/>
        <w:jc w:val="left"/>
        <w:rPr>
          <w:color w:val="auto"/>
          <w:sz w:val="21"/>
          <w:szCs w:val="21"/>
          <w:highlight w:val="none"/>
        </w:rPr>
      </w:pPr>
      <w:r>
        <w:rPr>
          <w:rFonts w:ascii="微软雅黑" w:hAnsi="微软雅黑" w:eastAsia="微软雅黑" w:cs="微软雅黑"/>
          <w:color w:val="auto"/>
          <w:sz w:val="21"/>
          <w:szCs w:val="21"/>
          <w:highlight w:val="none"/>
        </w:rPr>
        <w:t>②</w:t>
      </w:r>
      <w:r>
        <w:rPr>
          <w:rFonts w:ascii="宋体" w:hAnsi="宋体" w:eastAsia="宋体" w:cs="宋体"/>
          <w:color w:val="auto"/>
          <w:sz w:val="21"/>
          <w:szCs w:val="21"/>
          <w:highlight w:val="none"/>
        </w:rPr>
        <w:t>被保险人故意自伤或自杀，但被保险人自杀时为无民事行为能力人的除外；</w:t>
      </w:r>
    </w:p>
    <w:p w14:paraId="3A95FD1A">
      <w:pPr>
        <w:pStyle w:val="6"/>
        <w:spacing w:before="105" w:after="105"/>
        <w:ind w:firstLine="480"/>
        <w:jc w:val="left"/>
        <w:rPr>
          <w:color w:val="auto"/>
          <w:sz w:val="21"/>
          <w:szCs w:val="21"/>
          <w:highlight w:val="none"/>
        </w:rPr>
      </w:pPr>
      <w:r>
        <w:rPr>
          <w:rFonts w:ascii="微软雅黑" w:hAnsi="微软雅黑" w:eastAsia="微软雅黑" w:cs="微软雅黑"/>
          <w:color w:val="auto"/>
          <w:sz w:val="21"/>
          <w:szCs w:val="21"/>
          <w:highlight w:val="none"/>
        </w:rPr>
        <w:t>③</w:t>
      </w:r>
      <w:r>
        <w:rPr>
          <w:rFonts w:ascii="宋体" w:hAnsi="宋体" w:eastAsia="宋体" w:cs="宋体"/>
          <w:color w:val="auto"/>
          <w:sz w:val="21"/>
          <w:szCs w:val="21"/>
          <w:highlight w:val="none"/>
        </w:rPr>
        <w:t>被保险人挑衅或故意行为而导致的打斗、被袭击或被谋杀；</w:t>
      </w:r>
    </w:p>
    <w:p w14:paraId="2B5D6A79">
      <w:pPr>
        <w:pStyle w:val="6"/>
        <w:spacing w:before="105" w:after="105"/>
        <w:ind w:firstLine="480"/>
        <w:jc w:val="left"/>
        <w:rPr>
          <w:color w:val="auto"/>
          <w:sz w:val="21"/>
          <w:szCs w:val="21"/>
          <w:highlight w:val="none"/>
        </w:rPr>
      </w:pPr>
      <w:r>
        <w:rPr>
          <w:rFonts w:ascii="微软雅黑" w:hAnsi="微软雅黑" w:eastAsia="微软雅黑" w:cs="微软雅黑"/>
          <w:color w:val="auto"/>
          <w:sz w:val="21"/>
          <w:szCs w:val="21"/>
          <w:highlight w:val="none"/>
        </w:rPr>
        <w:t>④</w:t>
      </w:r>
      <w:r>
        <w:rPr>
          <w:rFonts w:ascii="宋体" w:hAnsi="宋体" w:eastAsia="宋体" w:cs="宋体"/>
          <w:color w:val="auto"/>
          <w:sz w:val="21"/>
          <w:szCs w:val="21"/>
          <w:highlight w:val="none"/>
        </w:rPr>
        <w:t>被保险人妊娠、流产、分娩、药物过敏；</w:t>
      </w:r>
    </w:p>
    <w:p w14:paraId="7DDB7ADC">
      <w:pPr>
        <w:pStyle w:val="6"/>
        <w:spacing w:before="105" w:after="105"/>
        <w:ind w:firstLine="480"/>
        <w:jc w:val="left"/>
        <w:rPr>
          <w:color w:val="auto"/>
          <w:sz w:val="21"/>
          <w:szCs w:val="21"/>
          <w:highlight w:val="none"/>
        </w:rPr>
      </w:pPr>
      <w:r>
        <w:rPr>
          <w:rFonts w:ascii="微软雅黑" w:hAnsi="微软雅黑" w:eastAsia="微软雅黑" w:cs="微软雅黑"/>
          <w:color w:val="auto"/>
          <w:sz w:val="21"/>
          <w:szCs w:val="21"/>
          <w:highlight w:val="none"/>
        </w:rPr>
        <w:t>⑤</w:t>
      </w:r>
      <w:r>
        <w:rPr>
          <w:rFonts w:ascii="宋体" w:hAnsi="宋体" w:eastAsia="宋体" w:cs="宋体"/>
          <w:color w:val="auto"/>
          <w:sz w:val="21"/>
          <w:szCs w:val="21"/>
          <w:highlight w:val="none"/>
        </w:rPr>
        <w:t>被保险人未遵医嘱服用、涂用、注射药物；</w:t>
      </w:r>
    </w:p>
    <w:p w14:paraId="2B617C32">
      <w:pPr>
        <w:pStyle w:val="6"/>
        <w:spacing w:before="105" w:after="105"/>
        <w:ind w:firstLine="480"/>
        <w:jc w:val="left"/>
        <w:rPr>
          <w:color w:val="auto"/>
          <w:sz w:val="21"/>
          <w:szCs w:val="21"/>
          <w:highlight w:val="none"/>
        </w:rPr>
      </w:pPr>
      <w:r>
        <w:rPr>
          <w:rFonts w:ascii="微软雅黑" w:hAnsi="微软雅黑" w:eastAsia="微软雅黑" w:cs="微软雅黑"/>
          <w:color w:val="auto"/>
          <w:sz w:val="21"/>
          <w:szCs w:val="21"/>
          <w:highlight w:val="none"/>
        </w:rPr>
        <w:t>⑥</w:t>
      </w:r>
      <w:r>
        <w:rPr>
          <w:rFonts w:ascii="宋体" w:hAnsi="宋体" w:eastAsia="宋体" w:cs="宋体"/>
          <w:color w:val="auto"/>
          <w:sz w:val="21"/>
          <w:szCs w:val="21"/>
          <w:highlight w:val="none"/>
        </w:rPr>
        <w:t>被保险人受酒精、毒品、管制药物的影响；</w:t>
      </w:r>
    </w:p>
    <w:p w14:paraId="1A34F3EF">
      <w:pPr>
        <w:pStyle w:val="6"/>
        <w:spacing w:before="105" w:after="105"/>
        <w:ind w:firstLine="480"/>
        <w:jc w:val="left"/>
        <w:rPr>
          <w:color w:val="auto"/>
          <w:sz w:val="21"/>
          <w:szCs w:val="21"/>
          <w:highlight w:val="none"/>
        </w:rPr>
      </w:pPr>
      <w:r>
        <w:rPr>
          <w:rFonts w:ascii="微软雅黑" w:hAnsi="微软雅黑" w:eastAsia="微软雅黑" w:cs="微软雅黑"/>
          <w:color w:val="auto"/>
          <w:sz w:val="21"/>
          <w:szCs w:val="21"/>
          <w:highlight w:val="none"/>
        </w:rPr>
        <w:t>⑦</w:t>
      </w:r>
      <w:r>
        <w:rPr>
          <w:rFonts w:ascii="宋体" w:hAnsi="宋体" w:eastAsia="宋体" w:cs="宋体"/>
          <w:color w:val="auto"/>
          <w:sz w:val="21"/>
          <w:szCs w:val="21"/>
          <w:highlight w:val="none"/>
        </w:rPr>
        <w:t>任何生物、化学、原子能武器，原子能或核能装置所造成的爆炸、灼伤、污染或辐射；</w:t>
      </w:r>
    </w:p>
    <w:p w14:paraId="5F6C2B29">
      <w:pPr>
        <w:pStyle w:val="6"/>
        <w:spacing w:before="105" w:after="105"/>
        <w:ind w:firstLine="480"/>
        <w:jc w:val="left"/>
        <w:rPr>
          <w:color w:val="auto"/>
          <w:sz w:val="21"/>
          <w:szCs w:val="21"/>
          <w:highlight w:val="none"/>
        </w:rPr>
      </w:pPr>
      <w:r>
        <w:rPr>
          <w:rFonts w:ascii="微软雅黑" w:hAnsi="微软雅黑" w:eastAsia="微软雅黑" w:cs="微软雅黑"/>
          <w:color w:val="auto"/>
          <w:sz w:val="21"/>
          <w:szCs w:val="21"/>
          <w:highlight w:val="none"/>
        </w:rPr>
        <w:t>⑧</w:t>
      </w:r>
      <w:r>
        <w:rPr>
          <w:rFonts w:ascii="宋体" w:hAnsi="宋体" w:eastAsia="宋体" w:cs="宋体"/>
          <w:color w:val="auto"/>
          <w:sz w:val="21"/>
          <w:szCs w:val="21"/>
          <w:highlight w:val="none"/>
        </w:rPr>
        <w:t>恐怖袭击；</w:t>
      </w:r>
    </w:p>
    <w:p w14:paraId="1696E22B">
      <w:pPr>
        <w:pStyle w:val="6"/>
        <w:spacing w:before="105" w:after="105"/>
        <w:ind w:firstLine="480"/>
        <w:jc w:val="left"/>
        <w:rPr>
          <w:color w:val="auto"/>
          <w:sz w:val="21"/>
          <w:szCs w:val="21"/>
          <w:highlight w:val="none"/>
        </w:rPr>
      </w:pPr>
      <w:r>
        <w:rPr>
          <w:rFonts w:ascii="微软雅黑" w:hAnsi="微软雅黑" w:eastAsia="微软雅黑" w:cs="微软雅黑"/>
          <w:color w:val="auto"/>
          <w:sz w:val="21"/>
          <w:szCs w:val="21"/>
          <w:highlight w:val="none"/>
        </w:rPr>
        <w:t>⑨</w:t>
      </w:r>
      <w:r>
        <w:rPr>
          <w:rFonts w:ascii="宋体" w:hAnsi="宋体" w:eastAsia="宋体" w:cs="宋体"/>
          <w:color w:val="auto"/>
          <w:sz w:val="21"/>
          <w:szCs w:val="21"/>
          <w:highlight w:val="none"/>
        </w:rPr>
        <w:t>战争、军事行动、武装叛乱或暴乱；</w:t>
      </w:r>
    </w:p>
    <w:p w14:paraId="36161EDA">
      <w:pPr>
        <w:pStyle w:val="6"/>
        <w:spacing w:before="105" w:after="105"/>
        <w:ind w:firstLine="480"/>
        <w:jc w:val="left"/>
        <w:rPr>
          <w:color w:val="auto"/>
          <w:sz w:val="21"/>
          <w:szCs w:val="21"/>
          <w:highlight w:val="none"/>
        </w:rPr>
      </w:pPr>
      <w:r>
        <w:rPr>
          <w:rFonts w:ascii="微软雅黑" w:hAnsi="微软雅黑" w:eastAsia="微软雅黑" w:cs="微软雅黑"/>
          <w:color w:val="auto"/>
          <w:sz w:val="21"/>
          <w:szCs w:val="21"/>
          <w:highlight w:val="none"/>
        </w:rPr>
        <w:t>⑩</w:t>
      </w:r>
      <w:r>
        <w:rPr>
          <w:rFonts w:ascii="宋体" w:hAnsi="宋体" w:eastAsia="宋体" w:cs="宋体"/>
          <w:color w:val="auto"/>
          <w:sz w:val="21"/>
          <w:szCs w:val="21"/>
          <w:highlight w:val="none"/>
        </w:rPr>
        <w:t>被保险人接受包括美容、整容、整形手术在内的任何医疗行为而造成的意外；</w:t>
      </w:r>
    </w:p>
    <w:p w14:paraId="7F5DF90D">
      <w:pPr>
        <w:pStyle w:val="6"/>
        <w:spacing w:before="105" w:after="105"/>
        <w:ind w:firstLine="480"/>
        <w:jc w:val="left"/>
        <w:rPr>
          <w:color w:val="auto"/>
          <w:sz w:val="21"/>
          <w:szCs w:val="21"/>
          <w:highlight w:val="none"/>
        </w:rPr>
      </w:pPr>
      <w:r>
        <w:rPr>
          <w:rFonts w:ascii="微软雅黑" w:hAnsi="微软雅黑" w:eastAsia="微软雅黑" w:cs="微软雅黑"/>
          <w:color w:val="auto"/>
          <w:sz w:val="21"/>
          <w:szCs w:val="21"/>
          <w:highlight w:val="none"/>
        </w:rPr>
        <w:t>⑪</w:t>
      </w:r>
      <w:r>
        <w:rPr>
          <w:rFonts w:ascii="宋体" w:hAnsi="宋体" w:eastAsia="宋体" w:cs="宋体"/>
          <w:color w:val="auto"/>
          <w:sz w:val="21"/>
          <w:szCs w:val="21"/>
          <w:highlight w:val="none"/>
        </w:rPr>
        <w:t>被保险人非因意外伤害而进行的牙科治疗或手术、视力矫正、因矫正视力而作的眼科验光检查，以及任何原因导致的牙齿修复或牙齿整形、安装及购买残疾用具（如轮椅、假肢、假眼、假牙或者助听器等）；</w:t>
      </w:r>
    </w:p>
    <w:p w14:paraId="46AB5061">
      <w:pPr>
        <w:pStyle w:val="6"/>
        <w:spacing w:before="105" w:after="105"/>
        <w:ind w:firstLine="480"/>
        <w:jc w:val="left"/>
        <w:rPr>
          <w:color w:val="auto"/>
          <w:sz w:val="21"/>
          <w:szCs w:val="21"/>
          <w:highlight w:val="none"/>
        </w:rPr>
      </w:pPr>
      <w:r>
        <w:rPr>
          <w:rFonts w:ascii="微软雅黑" w:hAnsi="微软雅黑" w:eastAsia="微软雅黑" w:cs="微软雅黑"/>
          <w:color w:val="auto"/>
          <w:sz w:val="21"/>
          <w:szCs w:val="21"/>
          <w:highlight w:val="none"/>
        </w:rPr>
        <w:t>⑫</w:t>
      </w:r>
      <w:r>
        <w:rPr>
          <w:rFonts w:ascii="宋体" w:hAnsi="宋体" w:eastAsia="宋体" w:cs="宋体"/>
          <w:color w:val="auto"/>
          <w:sz w:val="21"/>
          <w:szCs w:val="21"/>
          <w:highlight w:val="none"/>
        </w:rPr>
        <w:t>被保险人接受一般身体检查、疗养、特别护理、静养、康复性治疗、物理治疗或心理治疗；</w:t>
      </w:r>
    </w:p>
    <w:p w14:paraId="7DE9E6BA">
      <w:pPr>
        <w:pStyle w:val="6"/>
        <w:spacing w:before="105" w:after="105"/>
        <w:ind w:firstLine="480"/>
        <w:jc w:val="left"/>
        <w:rPr>
          <w:color w:val="auto"/>
          <w:sz w:val="21"/>
          <w:szCs w:val="21"/>
          <w:highlight w:val="none"/>
        </w:rPr>
      </w:pPr>
      <w:r>
        <w:rPr>
          <w:rFonts w:ascii="微软雅黑" w:hAnsi="微软雅黑" w:eastAsia="微软雅黑" w:cs="微软雅黑"/>
          <w:color w:val="auto"/>
          <w:sz w:val="21"/>
          <w:szCs w:val="21"/>
          <w:highlight w:val="none"/>
        </w:rPr>
        <w:t>⑬</w:t>
      </w:r>
      <w:r>
        <w:rPr>
          <w:rFonts w:ascii="宋体" w:hAnsi="宋体" w:eastAsia="宋体" w:cs="宋体"/>
          <w:color w:val="auto"/>
          <w:sz w:val="21"/>
          <w:szCs w:val="21"/>
          <w:highlight w:val="none"/>
        </w:rPr>
        <w:t>被保险人在家自设病床治疗；</w:t>
      </w:r>
    </w:p>
    <w:p w14:paraId="6EF994B7">
      <w:pPr>
        <w:pStyle w:val="6"/>
        <w:spacing w:before="105" w:after="105"/>
        <w:ind w:firstLine="480"/>
        <w:jc w:val="left"/>
        <w:rPr>
          <w:color w:val="auto"/>
          <w:sz w:val="21"/>
          <w:szCs w:val="21"/>
          <w:highlight w:val="none"/>
        </w:rPr>
      </w:pPr>
      <w:r>
        <w:rPr>
          <w:rFonts w:ascii="微软雅黑" w:hAnsi="微软雅黑" w:eastAsia="微软雅黑" w:cs="微软雅黑"/>
          <w:color w:val="auto"/>
          <w:sz w:val="21"/>
          <w:szCs w:val="21"/>
          <w:highlight w:val="none"/>
        </w:rPr>
        <w:t>⑭</w:t>
      </w:r>
      <w:r>
        <w:rPr>
          <w:rFonts w:ascii="宋体" w:hAnsi="宋体" w:eastAsia="宋体" w:cs="宋体"/>
          <w:color w:val="auto"/>
          <w:sz w:val="21"/>
          <w:szCs w:val="21"/>
          <w:highlight w:val="none"/>
        </w:rPr>
        <w:t>被保险人投保前已有残疾的治疗和康复；</w:t>
      </w:r>
    </w:p>
    <w:p w14:paraId="66ADA91C">
      <w:pPr>
        <w:pStyle w:val="6"/>
        <w:spacing w:before="105" w:after="105"/>
        <w:ind w:firstLine="480"/>
        <w:jc w:val="left"/>
        <w:rPr>
          <w:color w:val="auto"/>
          <w:sz w:val="21"/>
          <w:szCs w:val="21"/>
          <w:highlight w:val="none"/>
        </w:rPr>
      </w:pPr>
      <w:r>
        <w:rPr>
          <w:rFonts w:ascii="微软雅黑" w:hAnsi="微软雅黑" w:eastAsia="微软雅黑" w:cs="微软雅黑"/>
          <w:color w:val="auto"/>
          <w:sz w:val="21"/>
          <w:szCs w:val="21"/>
          <w:highlight w:val="none"/>
        </w:rPr>
        <w:t>⑮</w:t>
      </w:r>
      <w:r>
        <w:rPr>
          <w:rFonts w:ascii="宋体" w:hAnsi="宋体" w:eastAsia="宋体" w:cs="宋体"/>
          <w:color w:val="auto"/>
          <w:sz w:val="21"/>
          <w:szCs w:val="21"/>
          <w:highlight w:val="none"/>
        </w:rPr>
        <w:t>被保险人故意犯罪或抗拒依法采取的刑事强制措施；</w:t>
      </w:r>
    </w:p>
    <w:p w14:paraId="61298BD6">
      <w:pPr>
        <w:pStyle w:val="6"/>
        <w:spacing w:before="105" w:after="105"/>
        <w:ind w:firstLine="480"/>
        <w:jc w:val="left"/>
        <w:rPr>
          <w:color w:val="auto"/>
          <w:sz w:val="21"/>
          <w:szCs w:val="21"/>
          <w:highlight w:val="none"/>
        </w:rPr>
      </w:pPr>
      <w:r>
        <w:rPr>
          <w:rFonts w:ascii="微软雅黑" w:hAnsi="微软雅黑" w:eastAsia="微软雅黑" w:cs="微软雅黑"/>
          <w:color w:val="auto"/>
          <w:sz w:val="21"/>
          <w:szCs w:val="21"/>
          <w:highlight w:val="none"/>
        </w:rPr>
        <w:t>⑯</w:t>
      </w:r>
      <w:r>
        <w:rPr>
          <w:rFonts w:ascii="宋体" w:hAnsi="宋体" w:eastAsia="宋体" w:cs="宋体"/>
          <w:color w:val="auto"/>
          <w:sz w:val="21"/>
          <w:szCs w:val="21"/>
          <w:highlight w:val="none"/>
        </w:rPr>
        <w:t>被保险人存在精神和行为障碍（以世界卫生组织颁布的《疾病和有关健康问题的国际统计分类（ICD-10）》为准）；</w:t>
      </w:r>
    </w:p>
    <w:p w14:paraId="2177146D">
      <w:pPr>
        <w:pStyle w:val="6"/>
        <w:spacing w:before="105" w:after="105"/>
        <w:ind w:firstLine="480"/>
        <w:jc w:val="left"/>
        <w:rPr>
          <w:color w:val="auto"/>
          <w:sz w:val="21"/>
          <w:szCs w:val="21"/>
          <w:highlight w:val="none"/>
        </w:rPr>
      </w:pPr>
      <w:r>
        <w:rPr>
          <w:rFonts w:ascii="微软雅黑" w:hAnsi="微软雅黑" w:eastAsia="微软雅黑" w:cs="微软雅黑"/>
          <w:color w:val="auto"/>
          <w:sz w:val="21"/>
          <w:szCs w:val="21"/>
          <w:highlight w:val="none"/>
        </w:rPr>
        <w:t>⑰</w:t>
      </w:r>
      <w:r>
        <w:rPr>
          <w:rFonts w:ascii="宋体" w:hAnsi="宋体" w:eastAsia="宋体" w:cs="宋体"/>
          <w:color w:val="auto"/>
          <w:sz w:val="21"/>
          <w:szCs w:val="21"/>
          <w:highlight w:val="none"/>
        </w:rPr>
        <w:t>被保险人酒后驾驶、无有效驾驶证驾驶或驾驶无有效行驶证的机动交通工具；</w:t>
      </w:r>
    </w:p>
    <w:p w14:paraId="69FA4D25">
      <w:pPr>
        <w:pStyle w:val="6"/>
        <w:spacing w:before="105" w:after="105"/>
        <w:ind w:firstLine="480"/>
        <w:jc w:val="left"/>
        <w:rPr>
          <w:color w:val="auto"/>
          <w:sz w:val="21"/>
          <w:szCs w:val="21"/>
          <w:highlight w:val="none"/>
        </w:rPr>
      </w:pPr>
      <w:r>
        <w:rPr>
          <w:rFonts w:ascii="微软雅黑" w:hAnsi="微软雅黑" w:eastAsia="微软雅黑" w:cs="微软雅黑"/>
          <w:color w:val="auto"/>
          <w:sz w:val="21"/>
          <w:szCs w:val="21"/>
          <w:highlight w:val="none"/>
        </w:rPr>
        <w:t>⑱</w:t>
      </w:r>
      <w:r>
        <w:rPr>
          <w:rFonts w:ascii="宋体" w:hAnsi="宋体" w:eastAsia="宋体" w:cs="宋体"/>
          <w:color w:val="auto"/>
          <w:sz w:val="21"/>
          <w:szCs w:val="21"/>
          <w:highlight w:val="none"/>
        </w:rPr>
        <w:t>被保险人置身于任何飞机或空中运输工具（以乘客身份搭乘民用或商业航班者除外）；</w:t>
      </w:r>
    </w:p>
    <w:p w14:paraId="3E532690">
      <w:pPr>
        <w:pStyle w:val="6"/>
        <w:spacing w:before="105" w:after="105"/>
        <w:ind w:firstLine="480"/>
        <w:jc w:val="left"/>
        <w:rPr>
          <w:color w:val="auto"/>
          <w:sz w:val="21"/>
          <w:szCs w:val="21"/>
          <w:highlight w:val="none"/>
        </w:rPr>
      </w:pPr>
      <w:r>
        <w:rPr>
          <w:rFonts w:ascii="微软雅黑" w:hAnsi="微软雅黑" w:eastAsia="微软雅黑" w:cs="微软雅黑"/>
          <w:color w:val="auto"/>
          <w:sz w:val="21"/>
          <w:szCs w:val="21"/>
          <w:highlight w:val="none"/>
        </w:rPr>
        <w:t>⑲</w:t>
      </w:r>
      <w:r>
        <w:rPr>
          <w:rFonts w:ascii="宋体" w:hAnsi="宋体" w:eastAsia="宋体" w:cs="宋体"/>
          <w:color w:val="auto"/>
          <w:sz w:val="21"/>
          <w:szCs w:val="21"/>
          <w:highlight w:val="none"/>
        </w:rPr>
        <w:t>对于本保险合同中载明的免赔额，保险人不承担给付保险金的责任。</w:t>
      </w:r>
    </w:p>
    <w:p w14:paraId="656DB0B7">
      <w:pPr>
        <w:pStyle w:val="6"/>
        <w:spacing w:before="120" w:after="120"/>
        <w:ind w:firstLine="480"/>
        <w:jc w:val="left"/>
        <w:rPr>
          <w:color w:val="auto"/>
          <w:sz w:val="21"/>
          <w:szCs w:val="21"/>
          <w:highlight w:val="none"/>
        </w:rPr>
      </w:pPr>
      <w:r>
        <w:rPr>
          <w:rFonts w:ascii="宋体" w:hAnsi="宋体" w:eastAsia="宋体" w:cs="宋体"/>
          <w:color w:val="auto"/>
          <w:sz w:val="21"/>
          <w:szCs w:val="21"/>
          <w:highlight w:val="none"/>
        </w:rPr>
        <w:t>★</w:t>
      </w:r>
      <w:r>
        <w:rPr>
          <w:rFonts w:ascii="宋体" w:hAnsi="宋体" w:eastAsia="宋体" w:cs="宋体"/>
          <w:b/>
          <w:color w:val="auto"/>
          <w:sz w:val="21"/>
          <w:szCs w:val="21"/>
          <w:highlight w:val="none"/>
          <w:shd w:val="clear" w:color="auto" w:fill="FFFFFF"/>
        </w:rPr>
        <w:t>3.3、福安市计生特殊家庭住院护理保险责任</w:t>
      </w:r>
    </w:p>
    <w:p w14:paraId="408DA082">
      <w:pPr>
        <w:pStyle w:val="6"/>
        <w:spacing w:before="120" w:after="120"/>
        <w:ind w:firstLine="480"/>
        <w:jc w:val="left"/>
        <w:rPr>
          <w:color w:val="auto"/>
          <w:sz w:val="21"/>
          <w:szCs w:val="21"/>
          <w:highlight w:val="none"/>
        </w:rPr>
      </w:pPr>
      <w:r>
        <w:rPr>
          <w:rFonts w:ascii="宋体" w:hAnsi="宋体" w:eastAsia="宋体" w:cs="宋体"/>
          <w:b/>
          <w:color w:val="auto"/>
          <w:sz w:val="21"/>
          <w:szCs w:val="21"/>
          <w:highlight w:val="none"/>
          <w:shd w:val="clear" w:color="auto" w:fill="FFFFFF"/>
        </w:rPr>
        <w:t>3.3.1、身故保险责任</w:t>
      </w:r>
    </w:p>
    <w:p w14:paraId="1BC84F16">
      <w:pPr>
        <w:pStyle w:val="6"/>
        <w:spacing w:before="120" w:after="120"/>
        <w:ind w:firstLine="570"/>
        <w:jc w:val="left"/>
        <w:rPr>
          <w:color w:val="auto"/>
          <w:sz w:val="21"/>
          <w:szCs w:val="21"/>
          <w:highlight w:val="none"/>
        </w:rPr>
      </w:pPr>
      <w:r>
        <w:rPr>
          <w:b/>
          <w:color w:val="auto"/>
          <w:sz w:val="21"/>
          <w:szCs w:val="21"/>
          <w:highlight w:val="none"/>
        </w:rPr>
        <w:t xml:space="preserve"> </w:t>
      </w:r>
      <w:r>
        <w:rPr>
          <w:rFonts w:ascii="宋体" w:hAnsi="宋体" w:eastAsia="宋体" w:cs="宋体"/>
          <w:color w:val="auto"/>
          <w:sz w:val="21"/>
          <w:szCs w:val="21"/>
          <w:highlight w:val="none"/>
          <w:shd w:val="clear" w:color="auto" w:fill="FFFFFF"/>
        </w:rPr>
        <w:t>在保险期间内被保险人遭受意外伤害，并自意外伤害发生之日起180日内因该意外伤害身故的，保险人按保险金额给付身故保险金，对该被保险人的保险责任终止。</w:t>
      </w:r>
    </w:p>
    <w:p w14:paraId="63DC3129">
      <w:pPr>
        <w:pStyle w:val="6"/>
        <w:spacing w:before="120" w:after="120"/>
        <w:ind w:firstLine="570"/>
        <w:jc w:val="left"/>
        <w:rPr>
          <w:color w:val="auto"/>
          <w:sz w:val="21"/>
          <w:szCs w:val="21"/>
          <w:highlight w:val="none"/>
        </w:rPr>
      </w:pPr>
      <w:r>
        <w:rPr>
          <w:rFonts w:ascii="宋体" w:hAnsi="宋体" w:eastAsia="宋体" w:cs="宋体"/>
          <w:b/>
          <w:color w:val="auto"/>
          <w:sz w:val="21"/>
          <w:szCs w:val="21"/>
          <w:highlight w:val="none"/>
          <w:shd w:val="clear" w:color="auto" w:fill="FFFFFF"/>
        </w:rPr>
        <w:t>3.3.2、伤残保险责任</w:t>
      </w:r>
    </w:p>
    <w:p w14:paraId="352B23AE">
      <w:pPr>
        <w:pStyle w:val="6"/>
        <w:spacing w:before="120" w:after="120"/>
        <w:ind w:firstLine="570"/>
        <w:jc w:val="left"/>
        <w:rPr>
          <w:color w:val="auto"/>
          <w:sz w:val="21"/>
          <w:szCs w:val="21"/>
          <w:highlight w:val="none"/>
        </w:rPr>
      </w:pPr>
      <w:r>
        <w:rPr>
          <w:rFonts w:ascii="宋体" w:hAnsi="宋体" w:eastAsia="宋体" w:cs="宋体"/>
          <w:color w:val="auto"/>
          <w:sz w:val="21"/>
          <w:szCs w:val="21"/>
          <w:highlight w:val="none"/>
          <w:shd w:val="clear" w:color="auto" w:fill="FFFFFF"/>
        </w:rPr>
        <w:t>在保险期间内被保险人遭受意外伤害，并自该意外伤害发生之日起180日内因该意外伤害造成本保险合同所附《人身保险伤残评定标准》所列伤残程度之一的，保险人按《评定标准》所对应伤残等级的给付比例乘以保险金额给付残疾保险金。如第180日治疗仍未结束的，按当日的身体情况进行伤残评定，并据此给付残疾保险金。</w:t>
      </w:r>
    </w:p>
    <w:p w14:paraId="0A23F3A2">
      <w:pPr>
        <w:pStyle w:val="6"/>
        <w:spacing w:before="120" w:after="120"/>
        <w:ind w:firstLine="570"/>
        <w:jc w:val="left"/>
        <w:rPr>
          <w:color w:val="auto"/>
          <w:sz w:val="21"/>
          <w:szCs w:val="21"/>
          <w:highlight w:val="none"/>
        </w:rPr>
      </w:pPr>
      <w:r>
        <w:rPr>
          <w:rFonts w:ascii="宋体" w:hAnsi="宋体" w:eastAsia="宋体" w:cs="宋体"/>
          <w:b/>
          <w:color w:val="auto"/>
          <w:sz w:val="21"/>
          <w:szCs w:val="21"/>
          <w:highlight w:val="none"/>
          <w:shd w:val="clear" w:color="auto" w:fill="FFFFFF"/>
        </w:rPr>
        <w:t>3.3.3、住院津贴保险责任</w:t>
      </w:r>
    </w:p>
    <w:p w14:paraId="6F980FAA">
      <w:pPr>
        <w:pStyle w:val="6"/>
        <w:spacing w:before="120" w:after="120"/>
        <w:ind w:firstLine="570"/>
        <w:jc w:val="left"/>
        <w:rPr>
          <w:color w:val="auto"/>
          <w:sz w:val="21"/>
          <w:szCs w:val="21"/>
          <w:highlight w:val="none"/>
        </w:rPr>
      </w:pPr>
      <w:r>
        <w:rPr>
          <w:rFonts w:ascii="宋体" w:hAnsi="宋体" w:eastAsia="宋体" w:cs="宋体"/>
          <w:color w:val="auto"/>
          <w:sz w:val="21"/>
          <w:szCs w:val="21"/>
          <w:highlight w:val="none"/>
          <w:shd w:val="clear" w:color="auto" w:fill="FFFFFF"/>
        </w:rPr>
        <w:t>保险人依照下列约定给付保险金，且总给付日数最高以一百八十日为限。</w:t>
      </w:r>
    </w:p>
    <w:p w14:paraId="5E64F802">
      <w:pPr>
        <w:pStyle w:val="6"/>
        <w:spacing w:before="120" w:after="120"/>
        <w:ind w:firstLine="570"/>
        <w:jc w:val="left"/>
        <w:rPr>
          <w:color w:val="auto"/>
          <w:sz w:val="21"/>
          <w:szCs w:val="21"/>
          <w:highlight w:val="none"/>
        </w:rPr>
      </w:pPr>
      <w:r>
        <w:rPr>
          <w:rFonts w:ascii="宋体" w:hAnsi="宋体" w:eastAsia="宋体" w:cs="宋体"/>
          <w:color w:val="auto"/>
          <w:sz w:val="21"/>
          <w:szCs w:val="21"/>
          <w:highlight w:val="none"/>
          <w:shd w:val="clear" w:color="auto" w:fill="FFFFFF"/>
        </w:rPr>
        <w:t>a.在保险期间内，被保险人遭受意外伤害并因该意外伤害在保险期间内入住医疗机构进行治疗，对于该被保险人的实际住院日数，保险人按照《津贴给付表》的约定给付住院津贴保险金。</w:t>
      </w:r>
    </w:p>
    <w:p w14:paraId="6396FCC0">
      <w:pPr>
        <w:pStyle w:val="6"/>
        <w:spacing w:before="120" w:after="120"/>
        <w:ind w:firstLine="570"/>
        <w:jc w:val="left"/>
        <w:rPr>
          <w:color w:val="auto"/>
          <w:sz w:val="21"/>
          <w:szCs w:val="21"/>
          <w:highlight w:val="none"/>
        </w:rPr>
      </w:pPr>
      <w:r>
        <w:rPr>
          <w:rFonts w:ascii="宋体" w:hAnsi="宋体" w:eastAsia="宋体" w:cs="宋体"/>
          <w:color w:val="auto"/>
          <w:sz w:val="21"/>
          <w:szCs w:val="21"/>
          <w:highlight w:val="none"/>
          <w:shd w:val="clear" w:color="auto" w:fill="FFFFFF"/>
        </w:rPr>
        <w:t>b.在保险期间内，被保险人自保险期间开始之日起90日后（如主险合同为团体保险，则被保险人自获得被保资格之日起90日后）患有疾病并因该疾病在保险期间内入住医疗机构进行治疗，对于该被保险人的实际住院日数，保险人按照《津贴给付表》的约定给付住院津贴保险金。</w:t>
      </w:r>
    </w:p>
    <w:p w14:paraId="25738436">
      <w:pPr>
        <w:pStyle w:val="6"/>
        <w:spacing w:before="120" w:after="120"/>
        <w:ind w:firstLine="570"/>
        <w:jc w:val="left"/>
        <w:rPr>
          <w:color w:val="auto"/>
          <w:sz w:val="21"/>
          <w:szCs w:val="21"/>
          <w:highlight w:val="none"/>
        </w:rPr>
      </w:pPr>
      <w:r>
        <w:rPr>
          <w:rFonts w:ascii="宋体" w:hAnsi="宋体" w:eastAsia="宋体" w:cs="宋体"/>
          <w:color w:val="auto"/>
          <w:sz w:val="21"/>
          <w:szCs w:val="21"/>
          <w:highlight w:val="none"/>
          <w:shd w:val="clear" w:color="auto" w:fill="FFFFFF"/>
        </w:rPr>
        <w:t>c.若被保险人因同一原因多次住院，前次出院与后次住院日期间隔未达九十日的，则视为同一次住院。</w:t>
      </w:r>
    </w:p>
    <w:p w14:paraId="23CDDBCF">
      <w:pPr>
        <w:pStyle w:val="6"/>
        <w:spacing w:before="120" w:after="120"/>
        <w:ind w:firstLine="570"/>
        <w:jc w:val="left"/>
        <w:rPr>
          <w:color w:val="auto"/>
          <w:sz w:val="21"/>
          <w:szCs w:val="21"/>
          <w:highlight w:val="none"/>
        </w:rPr>
      </w:pPr>
      <w:r>
        <w:rPr>
          <w:rFonts w:ascii="宋体" w:hAnsi="宋体" w:eastAsia="宋体" w:cs="宋体"/>
          <w:b/>
          <w:color w:val="auto"/>
          <w:sz w:val="21"/>
          <w:szCs w:val="21"/>
          <w:highlight w:val="none"/>
          <w:shd w:val="clear" w:color="auto" w:fill="FFFFFF"/>
        </w:rPr>
        <w:t>3.3.4、重大疾病保险责任</w:t>
      </w:r>
    </w:p>
    <w:p w14:paraId="67D0A14E">
      <w:pPr>
        <w:pStyle w:val="6"/>
        <w:spacing w:before="120" w:after="120"/>
        <w:ind w:firstLine="480"/>
        <w:jc w:val="left"/>
        <w:rPr>
          <w:color w:val="auto"/>
          <w:sz w:val="21"/>
          <w:szCs w:val="21"/>
          <w:highlight w:val="none"/>
        </w:rPr>
      </w:pPr>
      <w:r>
        <w:rPr>
          <w:rFonts w:ascii="宋体" w:hAnsi="宋体" w:eastAsia="宋体" w:cs="宋体"/>
          <w:color w:val="auto"/>
          <w:sz w:val="21"/>
          <w:szCs w:val="21"/>
          <w:highlight w:val="none"/>
          <w:shd w:val="clear" w:color="auto" w:fill="FFFFFF"/>
        </w:rPr>
        <w:t>在保险期间内，被保险人遭遇意外伤害并因该意外伤害造成本附加险合同约定的重大疾病首次发病；或者自保险期间开始之日起90日后（如主险合同为团体保险，则自被保险人获得被保资格之日起90日后），首次发病并被专科医生确诊为本附加险合同所约定的重大疾病，保险人依照本附加险合同项下该被保险人的保险金额给付重大疾病保险金，对该被保险人的保险责任终止。</w:t>
      </w:r>
    </w:p>
    <w:p w14:paraId="707EB21E">
      <w:pPr>
        <w:pStyle w:val="6"/>
        <w:spacing w:before="120" w:after="120"/>
        <w:ind w:firstLine="480"/>
        <w:jc w:val="left"/>
        <w:rPr>
          <w:color w:val="auto"/>
          <w:sz w:val="21"/>
          <w:szCs w:val="21"/>
          <w:highlight w:val="none"/>
        </w:rPr>
      </w:pPr>
      <w:r>
        <w:rPr>
          <w:rFonts w:ascii="宋体" w:hAnsi="宋体" w:eastAsia="宋体" w:cs="宋体"/>
          <w:color w:val="auto"/>
          <w:sz w:val="21"/>
          <w:szCs w:val="21"/>
          <w:highlight w:val="none"/>
        </w:rPr>
        <w:t>★</w:t>
      </w:r>
      <w:r>
        <w:rPr>
          <w:rFonts w:ascii="宋体" w:hAnsi="宋体" w:eastAsia="宋体" w:cs="宋体"/>
          <w:b/>
          <w:color w:val="auto"/>
          <w:sz w:val="21"/>
          <w:szCs w:val="21"/>
          <w:highlight w:val="none"/>
          <w:shd w:val="clear" w:color="auto" w:fill="FFFFFF"/>
        </w:rPr>
        <w:t>3.4、保险保单要实行一人（户）一保单，保单到人（户），宣传到人（户）制度。</w:t>
      </w:r>
      <w:r>
        <w:rPr>
          <w:color w:val="auto"/>
          <w:sz w:val="21"/>
          <w:szCs w:val="21"/>
          <w:highlight w:val="none"/>
        </w:rPr>
        <w:t xml:space="preserve"> </w:t>
      </w:r>
    </w:p>
    <w:p w14:paraId="75B343FE">
      <w:pPr>
        <w:pStyle w:val="6"/>
        <w:spacing w:before="120" w:after="120"/>
        <w:ind w:firstLine="480"/>
        <w:jc w:val="left"/>
        <w:rPr>
          <w:color w:val="auto"/>
          <w:sz w:val="21"/>
          <w:szCs w:val="21"/>
          <w:highlight w:val="none"/>
        </w:rPr>
      </w:pPr>
      <w:r>
        <w:rPr>
          <w:rFonts w:ascii="宋体" w:hAnsi="宋体" w:eastAsia="宋体" w:cs="宋体"/>
          <w:color w:val="auto"/>
          <w:sz w:val="21"/>
          <w:szCs w:val="21"/>
          <w:highlight w:val="none"/>
          <w:shd w:val="clear" w:color="auto" w:fill="FFFFFF"/>
        </w:rPr>
        <w:t>4、如果采购人或上级部门政策发生调整，采购人有权对保费、保险金额及承保对象进行调整，投标人必须无条件响应。</w:t>
      </w:r>
      <w:r>
        <w:rPr>
          <w:color w:val="auto"/>
          <w:sz w:val="21"/>
          <w:szCs w:val="21"/>
          <w:highlight w:val="none"/>
        </w:rPr>
        <w:t xml:space="preserve"> </w:t>
      </w:r>
      <w:r>
        <w:rPr>
          <w:rFonts w:ascii="宋体" w:hAnsi="宋体" w:eastAsia="宋体" w:cs="宋体"/>
          <w:b/>
          <w:color w:val="auto"/>
          <w:sz w:val="21"/>
          <w:szCs w:val="21"/>
          <w:highlight w:val="none"/>
        </w:rPr>
        <w:t>（项号2）</w:t>
      </w:r>
    </w:p>
    <w:p w14:paraId="7B9C59DF">
      <w:pPr>
        <w:pStyle w:val="6"/>
        <w:spacing w:before="120" w:after="120"/>
        <w:ind w:firstLine="480"/>
        <w:jc w:val="left"/>
        <w:rPr>
          <w:color w:val="auto"/>
          <w:sz w:val="21"/>
          <w:szCs w:val="21"/>
          <w:highlight w:val="none"/>
        </w:rPr>
      </w:pPr>
      <w:r>
        <w:rPr>
          <w:rFonts w:ascii="宋体" w:hAnsi="宋体" w:eastAsia="宋体" w:cs="宋体"/>
          <w:color w:val="auto"/>
          <w:sz w:val="21"/>
          <w:szCs w:val="21"/>
          <w:highlight w:val="none"/>
        </w:rPr>
        <w:t>5、有专人上门办理理赔等手续，免费提供咨询、查询等服务。</w:t>
      </w:r>
      <w:r>
        <w:rPr>
          <w:color w:val="auto"/>
          <w:sz w:val="21"/>
          <w:szCs w:val="21"/>
          <w:highlight w:val="none"/>
        </w:rPr>
        <w:t xml:space="preserve"> </w:t>
      </w:r>
      <w:r>
        <w:rPr>
          <w:rFonts w:ascii="宋体" w:hAnsi="宋体" w:eastAsia="宋体" w:cs="宋体"/>
          <w:b/>
          <w:color w:val="auto"/>
          <w:sz w:val="21"/>
          <w:szCs w:val="21"/>
          <w:highlight w:val="none"/>
        </w:rPr>
        <w:t>（项号3）</w:t>
      </w:r>
    </w:p>
    <w:p w14:paraId="3488E446">
      <w:pPr>
        <w:pStyle w:val="6"/>
        <w:spacing w:before="120" w:after="120"/>
        <w:ind w:firstLine="480"/>
        <w:jc w:val="left"/>
        <w:rPr>
          <w:color w:val="auto"/>
          <w:sz w:val="21"/>
          <w:szCs w:val="21"/>
          <w:highlight w:val="none"/>
        </w:rPr>
      </w:pPr>
      <w:r>
        <w:rPr>
          <w:rFonts w:ascii="宋体" w:hAnsi="宋体" w:eastAsia="宋体" w:cs="宋体"/>
          <w:color w:val="auto"/>
          <w:sz w:val="21"/>
          <w:szCs w:val="21"/>
          <w:highlight w:val="none"/>
        </w:rPr>
        <w:t>6、索赔案件经调查不属于保险责任时，应向被保险人或其家属出具书面拒赔通知书并列明拒赔原因，同时抄送采购人。</w:t>
      </w:r>
      <w:r>
        <w:rPr>
          <w:color w:val="auto"/>
          <w:sz w:val="21"/>
          <w:szCs w:val="21"/>
          <w:highlight w:val="none"/>
        </w:rPr>
        <w:t xml:space="preserve"> </w:t>
      </w:r>
      <w:r>
        <w:rPr>
          <w:rFonts w:ascii="宋体" w:hAnsi="宋体" w:eastAsia="宋体" w:cs="宋体"/>
          <w:b/>
          <w:color w:val="auto"/>
          <w:sz w:val="21"/>
          <w:szCs w:val="21"/>
          <w:highlight w:val="none"/>
        </w:rPr>
        <w:t>（项号4）</w:t>
      </w:r>
    </w:p>
    <w:p w14:paraId="73E95870">
      <w:pPr>
        <w:pStyle w:val="6"/>
        <w:spacing w:before="120" w:after="120"/>
        <w:ind w:firstLine="480"/>
        <w:jc w:val="left"/>
        <w:rPr>
          <w:color w:val="auto"/>
          <w:sz w:val="21"/>
          <w:szCs w:val="21"/>
          <w:highlight w:val="none"/>
        </w:rPr>
      </w:pPr>
      <w:r>
        <w:rPr>
          <w:rFonts w:ascii="宋体" w:hAnsi="宋体" w:eastAsia="宋体" w:cs="宋体"/>
          <w:b/>
          <w:color w:val="auto"/>
          <w:sz w:val="21"/>
          <w:szCs w:val="21"/>
          <w:highlight w:val="none"/>
        </w:rPr>
        <w:t>7、服务承诺要求</w:t>
      </w:r>
    </w:p>
    <w:p w14:paraId="5647522E">
      <w:pPr>
        <w:pStyle w:val="6"/>
        <w:spacing w:before="105" w:after="105"/>
        <w:ind w:firstLine="480"/>
        <w:jc w:val="left"/>
        <w:rPr>
          <w:color w:val="auto"/>
          <w:sz w:val="21"/>
          <w:szCs w:val="21"/>
          <w:highlight w:val="none"/>
        </w:rPr>
      </w:pPr>
      <w:r>
        <w:rPr>
          <w:rFonts w:ascii="宋体" w:hAnsi="宋体" w:eastAsia="宋体" w:cs="宋体"/>
          <w:color w:val="auto"/>
          <w:sz w:val="21"/>
          <w:szCs w:val="21"/>
          <w:highlight w:val="none"/>
        </w:rPr>
        <w:t>7.1、承保人应严格信守承诺，不得变相提高保费标准，不得改变或降低其承诺的服务内容和服务质量。</w:t>
      </w:r>
      <w:r>
        <w:rPr>
          <w:color w:val="auto"/>
          <w:sz w:val="21"/>
          <w:szCs w:val="21"/>
          <w:highlight w:val="none"/>
        </w:rPr>
        <w:t xml:space="preserve"> </w:t>
      </w:r>
      <w:r>
        <w:rPr>
          <w:rFonts w:ascii="宋体" w:hAnsi="宋体" w:eastAsia="宋体" w:cs="宋体"/>
          <w:b/>
          <w:color w:val="auto"/>
          <w:sz w:val="21"/>
          <w:szCs w:val="21"/>
          <w:highlight w:val="none"/>
        </w:rPr>
        <w:t>（项号5）</w:t>
      </w:r>
    </w:p>
    <w:p w14:paraId="6687E3D0">
      <w:pPr>
        <w:pStyle w:val="6"/>
        <w:spacing w:before="105" w:after="105"/>
        <w:ind w:firstLine="480"/>
        <w:jc w:val="left"/>
        <w:rPr>
          <w:color w:val="auto"/>
          <w:sz w:val="21"/>
          <w:szCs w:val="21"/>
          <w:highlight w:val="none"/>
        </w:rPr>
      </w:pPr>
      <w:r>
        <w:rPr>
          <w:rFonts w:ascii="宋体" w:hAnsi="宋体" w:eastAsia="宋体" w:cs="宋体"/>
          <w:color w:val="auto"/>
          <w:sz w:val="21"/>
          <w:szCs w:val="21"/>
          <w:highlight w:val="none"/>
        </w:rPr>
        <w:t>7.2、投标人对采购人提出的服务要求，应逐条进行承诺。</w:t>
      </w:r>
      <w:r>
        <w:rPr>
          <w:color w:val="auto"/>
          <w:sz w:val="21"/>
          <w:szCs w:val="21"/>
          <w:highlight w:val="none"/>
        </w:rPr>
        <w:t xml:space="preserve"> </w:t>
      </w:r>
      <w:r>
        <w:rPr>
          <w:rFonts w:ascii="宋体" w:hAnsi="宋体" w:eastAsia="宋体" w:cs="宋体"/>
          <w:b/>
          <w:color w:val="auto"/>
          <w:sz w:val="21"/>
          <w:szCs w:val="21"/>
          <w:highlight w:val="none"/>
        </w:rPr>
        <w:t>（项号6）</w:t>
      </w:r>
    </w:p>
    <w:p w14:paraId="5328A67B">
      <w:pPr>
        <w:pStyle w:val="6"/>
        <w:spacing w:before="105" w:after="105"/>
        <w:ind w:firstLine="480"/>
        <w:jc w:val="left"/>
        <w:rPr>
          <w:color w:val="auto"/>
          <w:sz w:val="21"/>
          <w:szCs w:val="21"/>
          <w:highlight w:val="none"/>
        </w:rPr>
      </w:pPr>
      <w:r>
        <w:rPr>
          <w:rFonts w:ascii="宋体" w:hAnsi="宋体" w:eastAsia="宋体" w:cs="宋体"/>
          <w:color w:val="auto"/>
          <w:sz w:val="21"/>
          <w:szCs w:val="21"/>
          <w:highlight w:val="none"/>
        </w:rPr>
        <w:t>7.3、投标人的服务承诺应真实有效、具有可操作性，对承诺的服务内容应负完全责任。</w:t>
      </w:r>
      <w:r>
        <w:rPr>
          <w:color w:val="auto"/>
          <w:sz w:val="21"/>
          <w:szCs w:val="21"/>
          <w:highlight w:val="none"/>
        </w:rPr>
        <w:t xml:space="preserve"> </w:t>
      </w:r>
      <w:r>
        <w:rPr>
          <w:rFonts w:ascii="宋体" w:hAnsi="宋体" w:eastAsia="宋体" w:cs="宋体"/>
          <w:b/>
          <w:color w:val="auto"/>
          <w:sz w:val="21"/>
          <w:szCs w:val="21"/>
          <w:highlight w:val="none"/>
        </w:rPr>
        <w:t>（项号7）</w:t>
      </w:r>
    </w:p>
    <w:p w14:paraId="60D5C5AE">
      <w:pPr>
        <w:pStyle w:val="6"/>
        <w:spacing w:before="105" w:after="105"/>
        <w:ind w:firstLine="480"/>
        <w:jc w:val="left"/>
        <w:rPr>
          <w:color w:val="auto"/>
          <w:sz w:val="21"/>
          <w:szCs w:val="21"/>
          <w:highlight w:val="none"/>
        </w:rPr>
      </w:pPr>
      <w:r>
        <w:rPr>
          <w:rFonts w:ascii="宋体" w:hAnsi="宋体" w:eastAsia="宋体" w:cs="宋体"/>
          <w:color w:val="auto"/>
          <w:sz w:val="21"/>
          <w:szCs w:val="21"/>
          <w:highlight w:val="none"/>
        </w:rPr>
        <w:t>7.4、投标人的服务承诺在合同承保期内未实现承诺的，采购人将提请有关部门将其违规违约行为记录诚信档案。</w:t>
      </w:r>
      <w:r>
        <w:rPr>
          <w:color w:val="auto"/>
          <w:sz w:val="21"/>
          <w:szCs w:val="21"/>
          <w:highlight w:val="none"/>
        </w:rPr>
        <w:t xml:space="preserve"> </w:t>
      </w:r>
      <w:r>
        <w:rPr>
          <w:rFonts w:ascii="宋体" w:hAnsi="宋体" w:eastAsia="宋体" w:cs="宋体"/>
          <w:b/>
          <w:color w:val="auto"/>
          <w:sz w:val="21"/>
          <w:szCs w:val="21"/>
          <w:highlight w:val="none"/>
        </w:rPr>
        <w:t>（项号8）</w:t>
      </w:r>
    </w:p>
    <w:p w14:paraId="3876F0D6">
      <w:pPr>
        <w:pStyle w:val="6"/>
        <w:spacing w:before="105" w:after="105"/>
        <w:ind w:firstLine="480"/>
        <w:jc w:val="left"/>
        <w:rPr>
          <w:rFonts w:ascii="宋体" w:hAnsi="宋体" w:eastAsia="宋体" w:cs="宋体"/>
          <w:b/>
          <w:color w:val="auto"/>
          <w:sz w:val="21"/>
          <w:szCs w:val="21"/>
          <w:highlight w:val="none"/>
        </w:rPr>
      </w:pPr>
      <w:r>
        <w:rPr>
          <w:rFonts w:ascii="宋体" w:hAnsi="宋体" w:eastAsia="宋体" w:cs="宋体"/>
          <w:color w:val="auto"/>
          <w:sz w:val="21"/>
          <w:szCs w:val="21"/>
          <w:highlight w:val="none"/>
        </w:rPr>
        <w:t>★</w:t>
      </w:r>
      <w:r>
        <w:rPr>
          <w:rFonts w:ascii="宋体" w:hAnsi="宋体" w:eastAsia="宋体" w:cs="宋体"/>
          <w:b/>
          <w:color w:val="auto"/>
          <w:sz w:val="21"/>
          <w:szCs w:val="21"/>
          <w:highlight w:val="none"/>
        </w:rPr>
        <w:t>7.5、</w:t>
      </w:r>
      <w:r>
        <w:rPr>
          <w:rFonts w:ascii="宋体" w:hAnsi="宋体" w:eastAsia="宋体" w:cs="宋体"/>
          <w:b/>
          <w:bCs/>
          <w:color w:val="auto"/>
          <w:sz w:val="21"/>
          <w:szCs w:val="21"/>
          <w:highlight w:val="none"/>
        </w:rPr>
        <w:t>承保人</w:t>
      </w:r>
      <w:r>
        <w:rPr>
          <w:rFonts w:ascii="宋体" w:hAnsi="宋体" w:eastAsia="宋体" w:cs="宋体"/>
          <w:b/>
          <w:color w:val="auto"/>
          <w:sz w:val="21"/>
          <w:szCs w:val="21"/>
          <w:highlight w:val="none"/>
        </w:rPr>
        <w:t>须对计生家庭意外伤害保险在合同期满3个月内做好结算，综合理赔率（包括赔付支出和共同开展“生育关怀”项目支出）低于70%的差额部分用于市计生协会开展计生家庭帮扶工作（包括与保险公司联合开展生育关怀项目），根据相关法律法规等要求，具体结算和差额资金用于开展计生家庭帮扶工作由市计生协会与成交保险公司另行商定。</w:t>
      </w:r>
    </w:p>
    <w:p w14:paraId="30B9E603">
      <w:pPr>
        <w:pStyle w:val="6"/>
        <w:spacing w:before="105" w:after="105"/>
        <w:ind w:firstLine="480"/>
        <w:jc w:val="left"/>
        <w:rPr>
          <w:color w:val="auto"/>
          <w:sz w:val="21"/>
          <w:szCs w:val="21"/>
          <w:highlight w:val="none"/>
        </w:rPr>
      </w:pPr>
      <w:r>
        <w:rPr>
          <w:rFonts w:ascii="宋体" w:hAnsi="宋体" w:eastAsia="宋体" w:cs="宋体"/>
          <w:b/>
          <w:color w:val="auto"/>
          <w:sz w:val="21"/>
          <w:szCs w:val="21"/>
          <w:highlight w:val="none"/>
        </w:rPr>
        <w:t>8、其他服务要求</w:t>
      </w:r>
    </w:p>
    <w:p w14:paraId="6BCE6347">
      <w:pPr>
        <w:pStyle w:val="6"/>
        <w:spacing w:before="105" w:after="105"/>
        <w:ind w:firstLine="525"/>
        <w:jc w:val="left"/>
        <w:rPr>
          <w:color w:val="auto"/>
          <w:sz w:val="21"/>
          <w:szCs w:val="21"/>
          <w:highlight w:val="none"/>
        </w:rPr>
      </w:pPr>
      <w:r>
        <w:rPr>
          <w:rFonts w:ascii="宋体" w:hAnsi="宋体" w:eastAsia="宋体" w:cs="宋体"/>
          <w:color w:val="auto"/>
          <w:sz w:val="21"/>
          <w:szCs w:val="21"/>
          <w:highlight w:val="none"/>
        </w:rPr>
        <w:t>★8.1、人员配备</w:t>
      </w:r>
    </w:p>
    <w:p w14:paraId="2CE422F2">
      <w:pPr>
        <w:pStyle w:val="6"/>
        <w:spacing w:before="105" w:after="105"/>
        <w:ind w:firstLine="525"/>
        <w:jc w:val="left"/>
        <w:rPr>
          <w:color w:val="auto"/>
          <w:sz w:val="21"/>
          <w:szCs w:val="21"/>
          <w:highlight w:val="none"/>
        </w:rPr>
      </w:pPr>
      <w:r>
        <w:rPr>
          <w:rFonts w:ascii="宋体" w:hAnsi="宋体" w:eastAsia="宋体" w:cs="宋体"/>
          <w:color w:val="auto"/>
          <w:sz w:val="21"/>
          <w:szCs w:val="21"/>
          <w:highlight w:val="none"/>
        </w:rPr>
        <w:t>保险公司需组成项目小组，下设：</w:t>
      </w:r>
    </w:p>
    <w:p w14:paraId="09AC15FB">
      <w:pPr>
        <w:pStyle w:val="6"/>
        <w:spacing w:before="105" w:after="105"/>
        <w:ind w:firstLine="525"/>
        <w:jc w:val="left"/>
        <w:rPr>
          <w:color w:val="auto"/>
          <w:sz w:val="21"/>
          <w:szCs w:val="21"/>
          <w:highlight w:val="none"/>
        </w:rPr>
      </w:pPr>
      <w:r>
        <w:rPr>
          <w:rFonts w:ascii="宋体" w:hAnsi="宋体" w:eastAsia="宋体" w:cs="宋体"/>
          <w:color w:val="auto"/>
          <w:sz w:val="21"/>
          <w:szCs w:val="21"/>
          <w:highlight w:val="none"/>
        </w:rPr>
        <w:t>项目经理：指定1名，由保险公司分管负责人担任，负责按照本次采购的有关要求为各被保险人提供承保、理赔及其他相关保险服务，包括必要的组织与协调工作。</w:t>
      </w:r>
    </w:p>
    <w:p w14:paraId="318BEC7C">
      <w:pPr>
        <w:pStyle w:val="6"/>
        <w:spacing w:before="105" w:after="105"/>
        <w:ind w:firstLine="525"/>
        <w:jc w:val="left"/>
        <w:rPr>
          <w:color w:val="auto"/>
          <w:sz w:val="21"/>
          <w:szCs w:val="21"/>
          <w:highlight w:val="none"/>
        </w:rPr>
      </w:pPr>
      <w:r>
        <w:rPr>
          <w:rFonts w:ascii="宋体" w:hAnsi="宋体" w:eastAsia="宋体" w:cs="宋体"/>
          <w:color w:val="auto"/>
          <w:sz w:val="21"/>
          <w:szCs w:val="21"/>
          <w:highlight w:val="none"/>
        </w:rPr>
        <w:t>客户服务专员：至少配备2名，其中有1名应为项目专职承保人员，1名应为项目专职核赔人员，协助项目经理提供保险服务，代理办理一切理赔手续，包含从理赔申请到理赔款送达全过程。</w:t>
      </w:r>
    </w:p>
    <w:p w14:paraId="75DA7220">
      <w:pPr>
        <w:pStyle w:val="6"/>
        <w:spacing w:before="105" w:after="105"/>
        <w:ind w:firstLine="480"/>
        <w:jc w:val="left"/>
        <w:rPr>
          <w:color w:val="auto"/>
          <w:sz w:val="21"/>
          <w:szCs w:val="21"/>
          <w:highlight w:val="none"/>
        </w:rPr>
      </w:pPr>
      <w:r>
        <w:rPr>
          <w:rFonts w:ascii="宋体" w:hAnsi="宋体" w:eastAsia="宋体" w:cs="宋体"/>
          <w:color w:val="auto"/>
          <w:sz w:val="21"/>
          <w:szCs w:val="21"/>
          <w:highlight w:val="none"/>
        </w:rPr>
        <w:t>8.2、中标人应定期对福安市各乡镇（街道）、村(居）计生基层组织进行计生保险条款解释，开展计生保险宣传培训，进行理赔咨询等服务；提供培训宣传所需的各类材料，统一宣传口径，并对参保群众进行保险知识普及和安全教育。</w:t>
      </w:r>
      <w:r>
        <w:rPr>
          <w:color w:val="auto"/>
          <w:sz w:val="21"/>
          <w:szCs w:val="21"/>
          <w:highlight w:val="none"/>
        </w:rPr>
        <w:t xml:space="preserve"> </w:t>
      </w:r>
      <w:r>
        <w:rPr>
          <w:rFonts w:ascii="宋体" w:hAnsi="宋体" w:eastAsia="宋体" w:cs="宋体"/>
          <w:b/>
          <w:color w:val="auto"/>
          <w:sz w:val="21"/>
          <w:szCs w:val="21"/>
          <w:highlight w:val="none"/>
        </w:rPr>
        <w:t>（项号9）</w:t>
      </w:r>
    </w:p>
    <w:p w14:paraId="2BBA7907">
      <w:pPr>
        <w:pStyle w:val="6"/>
        <w:spacing w:before="105" w:after="105"/>
        <w:ind w:firstLine="480"/>
        <w:jc w:val="left"/>
        <w:rPr>
          <w:color w:val="auto"/>
          <w:sz w:val="21"/>
          <w:szCs w:val="21"/>
          <w:highlight w:val="none"/>
        </w:rPr>
      </w:pPr>
      <w:r>
        <w:rPr>
          <w:rFonts w:ascii="宋体" w:hAnsi="宋体" w:eastAsia="宋体" w:cs="宋体"/>
          <w:color w:val="auto"/>
          <w:sz w:val="21"/>
          <w:szCs w:val="21"/>
          <w:highlight w:val="none"/>
        </w:rPr>
        <w:t>8.3、中标人应定期提供理赔统计数据，包括但不限于被保险人姓名、身份证号、赔付日期及赔付金额等。并接受采购人的监督。</w:t>
      </w:r>
      <w:r>
        <w:rPr>
          <w:color w:val="auto"/>
          <w:sz w:val="21"/>
          <w:szCs w:val="21"/>
          <w:highlight w:val="none"/>
        </w:rPr>
        <w:t xml:space="preserve"> </w:t>
      </w:r>
      <w:r>
        <w:rPr>
          <w:rFonts w:ascii="宋体" w:hAnsi="宋体" w:eastAsia="宋体" w:cs="宋体"/>
          <w:b/>
          <w:color w:val="auto"/>
          <w:sz w:val="21"/>
          <w:szCs w:val="21"/>
          <w:highlight w:val="none"/>
        </w:rPr>
        <w:t>（项号10）</w:t>
      </w:r>
    </w:p>
    <w:p w14:paraId="78B18BED">
      <w:pPr>
        <w:pStyle w:val="6"/>
        <w:spacing w:before="105" w:after="105"/>
        <w:ind w:firstLine="480"/>
        <w:jc w:val="left"/>
        <w:rPr>
          <w:color w:val="auto"/>
          <w:sz w:val="21"/>
          <w:szCs w:val="21"/>
          <w:highlight w:val="none"/>
        </w:rPr>
      </w:pPr>
      <w:r>
        <w:rPr>
          <w:rFonts w:ascii="宋体" w:hAnsi="宋体" w:eastAsia="宋体" w:cs="宋体"/>
          <w:color w:val="auto"/>
          <w:sz w:val="21"/>
          <w:szCs w:val="21"/>
          <w:highlight w:val="none"/>
        </w:rPr>
        <w:t>8.4、建立定期例会制度。对承保和理赔中的相关问题进行讨论和沟通，制定解决办法。</w:t>
      </w:r>
      <w:r>
        <w:rPr>
          <w:color w:val="auto"/>
          <w:sz w:val="21"/>
          <w:szCs w:val="21"/>
          <w:highlight w:val="none"/>
        </w:rPr>
        <w:t xml:space="preserve"> </w:t>
      </w:r>
      <w:r>
        <w:rPr>
          <w:rFonts w:ascii="宋体" w:hAnsi="宋体" w:eastAsia="宋体" w:cs="宋体"/>
          <w:b/>
          <w:color w:val="auto"/>
          <w:sz w:val="21"/>
          <w:szCs w:val="21"/>
          <w:highlight w:val="none"/>
        </w:rPr>
        <w:t>（项号11）</w:t>
      </w:r>
    </w:p>
    <w:p w14:paraId="1623C0D4">
      <w:pPr>
        <w:pStyle w:val="6"/>
        <w:spacing w:before="105" w:after="105"/>
        <w:ind w:firstLine="480"/>
        <w:jc w:val="left"/>
        <w:rPr>
          <w:color w:val="auto"/>
          <w:sz w:val="21"/>
          <w:szCs w:val="21"/>
          <w:highlight w:val="none"/>
        </w:rPr>
      </w:pPr>
      <w:r>
        <w:rPr>
          <w:rFonts w:ascii="宋体" w:hAnsi="宋体" w:eastAsia="宋体" w:cs="宋体"/>
          <w:color w:val="auto"/>
          <w:sz w:val="21"/>
          <w:szCs w:val="21"/>
          <w:highlight w:val="none"/>
        </w:rPr>
        <w:t>8.5、建立投诉制度、建立疑难和争议案件处理机制。</w:t>
      </w:r>
      <w:r>
        <w:rPr>
          <w:color w:val="auto"/>
          <w:sz w:val="21"/>
          <w:szCs w:val="21"/>
          <w:highlight w:val="none"/>
        </w:rPr>
        <w:t xml:space="preserve"> </w:t>
      </w:r>
      <w:r>
        <w:rPr>
          <w:rFonts w:ascii="宋体" w:hAnsi="宋体" w:eastAsia="宋体" w:cs="宋体"/>
          <w:b/>
          <w:color w:val="auto"/>
          <w:sz w:val="21"/>
          <w:szCs w:val="21"/>
          <w:highlight w:val="none"/>
        </w:rPr>
        <w:t>（项号12）</w:t>
      </w:r>
    </w:p>
    <w:p w14:paraId="059F2F10">
      <w:pPr>
        <w:pStyle w:val="6"/>
        <w:spacing w:before="105" w:after="105"/>
        <w:ind w:firstLine="525"/>
        <w:jc w:val="left"/>
        <w:rPr>
          <w:color w:val="auto"/>
          <w:sz w:val="21"/>
          <w:szCs w:val="21"/>
          <w:highlight w:val="none"/>
        </w:rPr>
      </w:pPr>
      <w:r>
        <w:rPr>
          <w:rFonts w:ascii="宋体" w:hAnsi="宋体" w:eastAsia="宋体" w:cs="宋体"/>
          <w:color w:val="auto"/>
          <w:sz w:val="21"/>
          <w:szCs w:val="21"/>
          <w:highlight w:val="none"/>
        </w:rPr>
        <w:t>8.6、中标人应在24小时内接受报案并完成查勘服务，在申请给付手续完备的情况下，保险公司必须在承诺时效内给付保险金。</w:t>
      </w:r>
      <w:r>
        <w:rPr>
          <w:color w:val="auto"/>
          <w:sz w:val="21"/>
          <w:szCs w:val="21"/>
          <w:highlight w:val="none"/>
        </w:rPr>
        <w:t xml:space="preserve"> </w:t>
      </w:r>
      <w:r>
        <w:rPr>
          <w:rFonts w:ascii="宋体" w:hAnsi="宋体" w:eastAsia="宋体" w:cs="宋体"/>
          <w:b/>
          <w:color w:val="auto"/>
          <w:sz w:val="21"/>
          <w:szCs w:val="21"/>
          <w:highlight w:val="none"/>
        </w:rPr>
        <w:t>（项号13）</w:t>
      </w:r>
    </w:p>
    <w:p w14:paraId="4714A927">
      <w:pPr>
        <w:pStyle w:val="6"/>
        <w:spacing w:before="105" w:after="105"/>
        <w:ind w:firstLine="525"/>
        <w:jc w:val="left"/>
        <w:rPr>
          <w:color w:val="auto"/>
          <w:sz w:val="21"/>
          <w:szCs w:val="21"/>
          <w:highlight w:val="none"/>
        </w:rPr>
      </w:pPr>
      <w:r>
        <w:rPr>
          <w:rFonts w:ascii="宋体" w:hAnsi="宋体" w:eastAsia="宋体" w:cs="宋体"/>
          <w:color w:val="auto"/>
          <w:sz w:val="21"/>
          <w:szCs w:val="21"/>
          <w:highlight w:val="none"/>
        </w:rPr>
        <w:t>8.7、中标人应提供上门办理承保及理赔、保费结算等手续，免费提供咨询、查询等服务。</w:t>
      </w:r>
      <w:r>
        <w:rPr>
          <w:color w:val="auto"/>
          <w:sz w:val="21"/>
          <w:szCs w:val="21"/>
          <w:highlight w:val="none"/>
        </w:rPr>
        <w:t xml:space="preserve"> </w:t>
      </w:r>
      <w:r>
        <w:rPr>
          <w:rFonts w:ascii="宋体" w:hAnsi="宋体" w:eastAsia="宋体" w:cs="宋体"/>
          <w:b/>
          <w:color w:val="auto"/>
          <w:sz w:val="21"/>
          <w:szCs w:val="21"/>
          <w:highlight w:val="none"/>
        </w:rPr>
        <w:t>（项号14）</w:t>
      </w:r>
    </w:p>
    <w:p w14:paraId="07CC1F5E">
      <w:pPr>
        <w:pStyle w:val="6"/>
        <w:spacing w:before="105" w:after="105"/>
        <w:ind w:firstLine="525"/>
        <w:jc w:val="left"/>
        <w:rPr>
          <w:color w:val="auto"/>
          <w:sz w:val="21"/>
          <w:szCs w:val="21"/>
          <w:highlight w:val="none"/>
        </w:rPr>
      </w:pPr>
      <w:r>
        <w:rPr>
          <w:rFonts w:ascii="宋体" w:hAnsi="宋体" w:eastAsia="宋体" w:cs="宋体"/>
          <w:color w:val="auto"/>
          <w:sz w:val="21"/>
          <w:szCs w:val="21"/>
          <w:highlight w:val="none"/>
        </w:rPr>
        <w:t>8.8、中标人应将承保的主要条款（如保险责任、保险金额、免赔额等）和服务内容（理赔流程所需手续、查勘、业务咨询、项目负责人等）印刷成册，发放给投保人，指导其进行保险业务的办理等。</w:t>
      </w:r>
      <w:r>
        <w:rPr>
          <w:color w:val="auto"/>
          <w:sz w:val="21"/>
          <w:szCs w:val="21"/>
          <w:highlight w:val="none"/>
        </w:rPr>
        <w:t xml:space="preserve"> </w:t>
      </w:r>
      <w:r>
        <w:rPr>
          <w:rFonts w:ascii="宋体" w:hAnsi="宋体" w:eastAsia="宋体" w:cs="宋体"/>
          <w:b/>
          <w:color w:val="auto"/>
          <w:sz w:val="21"/>
          <w:szCs w:val="21"/>
          <w:highlight w:val="none"/>
        </w:rPr>
        <w:t>（项号15）</w:t>
      </w:r>
    </w:p>
    <w:p w14:paraId="13A90BCC">
      <w:pPr>
        <w:pStyle w:val="6"/>
        <w:spacing w:before="105" w:after="105"/>
        <w:ind w:firstLine="525"/>
        <w:jc w:val="left"/>
        <w:rPr>
          <w:color w:val="auto"/>
          <w:sz w:val="21"/>
          <w:szCs w:val="21"/>
          <w:highlight w:val="none"/>
        </w:rPr>
      </w:pPr>
      <w:r>
        <w:rPr>
          <w:rFonts w:ascii="宋体" w:hAnsi="宋体" w:eastAsia="宋体" w:cs="宋体"/>
          <w:color w:val="auto"/>
          <w:sz w:val="21"/>
          <w:szCs w:val="21"/>
          <w:highlight w:val="none"/>
        </w:rPr>
        <w:t>8.9、中标人应提供定期的跟踪回访制度，索取客户的反馈意见，提高服务质量。</w:t>
      </w:r>
      <w:r>
        <w:rPr>
          <w:color w:val="auto"/>
          <w:sz w:val="21"/>
          <w:szCs w:val="21"/>
          <w:highlight w:val="none"/>
        </w:rPr>
        <w:t xml:space="preserve"> </w:t>
      </w:r>
      <w:r>
        <w:rPr>
          <w:rFonts w:ascii="宋体" w:hAnsi="宋体" w:eastAsia="宋体" w:cs="宋体"/>
          <w:b/>
          <w:color w:val="auto"/>
          <w:sz w:val="21"/>
          <w:szCs w:val="21"/>
          <w:highlight w:val="none"/>
        </w:rPr>
        <w:t>（项号16）</w:t>
      </w:r>
    </w:p>
    <w:p w14:paraId="29A6D931">
      <w:pPr>
        <w:pStyle w:val="6"/>
        <w:spacing w:before="105" w:after="105"/>
        <w:ind w:firstLine="525"/>
        <w:jc w:val="left"/>
        <w:rPr>
          <w:color w:val="auto"/>
          <w:sz w:val="21"/>
          <w:szCs w:val="21"/>
          <w:highlight w:val="none"/>
        </w:rPr>
      </w:pPr>
      <w:r>
        <w:rPr>
          <w:rFonts w:ascii="宋体" w:hAnsi="宋体" w:eastAsia="宋体" w:cs="宋体"/>
          <w:color w:val="auto"/>
          <w:sz w:val="21"/>
          <w:szCs w:val="21"/>
          <w:highlight w:val="none"/>
        </w:rPr>
        <w:t>8.10、中标人应履行相关条款、信息告知义务。</w:t>
      </w:r>
      <w:r>
        <w:rPr>
          <w:color w:val="auto"/>
          <w:sz w:val="21"/>
          <w:szCs w:val="21"/>
          <w:highlight w:val="none"/>
        </w:rPr>
        <w:t xml:space="preserve"> </w:t>
      </w:r>
      <w:r>
        <w:rPr>
          <w:rFonts w:ascii="宋体" w:hAnsi="宋体" w:eastAsia="宋体" w:cs="宋体"/>
          <w:b/>
          <w:color w:val="auto"/>
          <w:sz w:val="21"/>
          <w:szCs w:val="21"/>
          <w:highlight w:val="none"/>
        </w:rPr>
        <w:t>（项号17）</w:t>
      </w:r>
    </w:p>
    <w:p w14:paraId="20A52C72">
      <w:pPr>
        <w:pStyle w:val="6"/>
        <w:spacing w:before="105" w:after="105"/>
        <w:ind w:firstLine="480"/>
        <w:jc w:val="left"/>
        <w:rPr>
          <w:color w:val="auto"/>
          <w:sz w:val="21"/>
          <w:szCs w:val="21"/>
          <w:highlight w:val="none"/>
        </w:rPr>
      </w:pPr>
      <w:r>
        <w:rPr>
          <w:rFonts w:ascii="宋体" w:hAnsi="宋体" w:eastAsia="宋体" w:cs="宋体"/>
          <w:color w:val="auto"/>
          <w:sz w:val="21"/>
          <w:szCs w:val="21"/>
          <w:highlight w:val="none"/>
        </w:rPr>
        <w:t>★</w:t>
      </w:r>
      <w:r>
        <w:rPr>
          <w:rFonts w:ascii="宋体" w:hAnsi="宋体" w:eastAsia="宋体" w:cs="宋体"/>
          <w:b/>
          <w:color w:val="auto"/>
          <w:sz w:val="21"/>
          <w:szCs w:val="21"/>
          <w:highlight w:val="none"/>
          <w:shd w:val="clear" w:color="auto" w:fill="FFFFFF"/>
        </w:rPr>
        <w:t>9、承办区域：</w:t>
      </w:r>
    </w:p>
    <w:p w14:paraId="37A6E7CC">
      <w:pPr>
        <w:pStyle w:val="6"/>
        <w:spacing w:before="105" w:after="105"/>
        <w:ind w:firstLine="480"/>
        <w:jc w:val="left"/>
        <w:rPr>
          <w:color w:val="auto"/>
          <w:sz w:val="21"/>
          <w:szCs w:val="21"/>
          <w:highlight w:val="none"/>
        </w:rPr>
      </w:pPr>
      <w:r>
        <w:rPr>
          <w:rFonts w:ascii="宋体" w:hAnsi="宋体" w:eastAsia="宋体" w:cs="宋体"/>
          <w:b/>
          <w:color w:val="auto"/>
          <w:sz w:val="21"/>
          <w:szCs w:val="21"/>
          <w:highlight w:val="none"/>
          <w:shd w:val="clear" w:color="auto" w:fill="FFFFFF"/>
        </w:rPr>
        <w:t>计生家庭意外伤害保险承保区域：</w:t>
      </w:r>
      <w:r>
        <w:rPr>
          <w:rFonts w:ascii="宋体" w:hAnsi="宋体" w:eastAsia="宋体" w:cs="宋体"/>
          <w:color w:val="auto"/>
          <w:sz w:val="21"/>
          <w:szCs w:val="21"/>
          <w:highlight w:val="none"/>
          <w:shd w:val="clear" w:color="auto" w:fill="FFFFFF"/>
        </w:rPr>
        <w:t>福安市直机关、企（事业）单位及</w:t>
      </w:r>
      <w:r>
        <w:rPr>
          <w:rFonts w:hint="eastAsia" w:ascii="宋体" w:hAnsi="宋体" w:eastAsia="宋体" w:cs="宋体"/>
          <w:color w:val="auto"/>
          <w:sz w:val="21"/>
          <w:szCs w:val="21"/>
          <w:highlight w:val="none"/>
          <w:shd w:val="clear" w:color="auto" w:fill="FFFFFF"/>
          <w:lang w:val="en-US" w:eastAsia="zh-CN"/>
        </w:rPr>
        <w:t>22</w:t>
      </w:r>
      <w:r>
        <w:rPr>
          <w:rFonts w:ascii="宋体" w:hAnsi="宋体" w:eastAsia="宋体" w:cs="宋体"/>
          <w:color w:val="auto"/>
          <w:sz w:val="21"/>
          <w:szCs w:val="21"/>
          <w:highlight w:val="none"/>
          <w:shd w:val="clear" w:color="auto" w:fill="FFFFFF"/>
        </w:rPr>
        <w:t>个乡镇（城北街道、城南街道、阳头街道、城阳镇、坂中乡、范坑乡、赛岐镇、上白石镇、社口镇、松罗乡、潭头镇、湾坞镇、溪柄镇、溪尾镇、晓阳镇</w:t>
      </w:r>
      <w:r>
        <w:rPr>
          <w:rFonts w:hint="eastAsia" w:ascii="宋体" w:hAnsi="宋体" w:eastAsia="宋体" w:cs="宋体"/>
          <w:color w:val="auto"/>
          <w:sz w:val="21"/>
          <w:szCs w:val="21"/>
          <w:highlight w:val="none"/>
          <w:shd w:val="clear" w:color="auto" w:fill="FFFFFF"/>
          <w:lang w:eastAsia="zh-CN"/>
        </w:rPr>
        <w:t>、甘棠镇、下白石镇、溪潭镇、穆阳镇、穆云乡、康厝乡、罗江街道</w:t>
      </w:r>
      <w:r>
        <w:rPr>
          <w:rFonts w:ascii="宋体" w:hAnsi="宋体" w:eastAsia="宋体" w:cs="宋体"/>
          <w:color w:val="auto"/>
          <w:sz w:val="21"/>
          <w:szCs w:val="21"/>
          <w:highlight w:val="none"/>
          <w:shd w:val="clear" w:color="auto" w:fill="FFFFFF"/>
        </w:rPr>
        <w:t>）；</w:t>
      </w:r>
      <w:r>
        <w:rPr>
          <w:rFonts w:ascii="宋体" w:hAnsi="宋体" w:eastAsia="宋体" w:cs="宋体"/>
          <w:color w:val="auto"/>
          <w:sz w:val="21"/>
          <w:szCs w:val="21"/>
          <w:highlight w:val="none"/>
          <w:shd w:val="clear" w:color="auto" w:fill="FFFFFF"/>
        </w:rPr>
        <w:t xml:space="preserve">    </w:t>
      </w:r>
    </w:p>
    <w:p w14:paraId="16CFCFA8">
      <w:pPr>
        <w:rPr>
          <w:color w:val="auto"/>
          <w:highlight w:val="none"/>
        </w:rPr>
      </w:pPr>
      <w:r>
        <w:rPr>
          <w:rFonts w:ascii="宋体" w:hAnsi="宋体" w:eastAsia="宋体" w:cs="宋体"/>
          <w:b/>
          <w:color w:val="auto"/>
          <w:sz w:val="21"/>
          <w:szCs w:val="21"/>
          <w:highlight w:val="none"/>
          <w:shd w:val="clear" w:color="auto" w:fill="FFFFFF"/>
        </w:rPr>
        <w:t>计生特殊家庭住院护理保险承保区域：</w:t>
      </w:r>
      <w:r>
        <w:rPr>
          <w:rFonts w:ascii="宋体" w:hAnsi="宋体" w:eastAsia="宋体" w:cs="宋体"/>
          <w:color w:val="auto"/>
          <w:sz w:val="21"/>
          <w:szCs w:val="21"/>
          <w:highlight w:val="none"/>
        </w:rPr>
        <w:t>福安市</w:t>
      </w:r>
      <w:r>
        <w:rPr>
          <w:rFonts w:ascii="宋体" w:hAnsi="宋体" w:eastAsia="宋体" w:cs="宋体"/>
          <w:color w:val="auto"/>
          <w:sz w:val="21"/>
          <w:szCs w:val="21"/>
          <w:highlight w:val="none"/>
          <w:shd w:val="clear" w:color="auto" w:fill="FFFFFF"/>
        </w:rPr>
        <w:t>全市。</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341097"/>
    <w:rsid w:val="1B3410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paragraph" w:styleId="3">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6">
    <w:name w:val="null3"/>
    <w:qFormat/>
    <w:uiPriority w:val="0"/>
    <w:rPr>
      <w:rFonts w:hint="eastAsia" w:ascii="Calibri" w:hAnsi="Calibri" w:eastAsia="宋体" w:cs="Times New Roman"/>
      <w:lang w:val="en-US" w:eastAsia="zh-Han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2025-03-24T10:02:00Z</dcterms:created>
  <dc:creator>WPS_1624965681</dc:creator>
  <cp:lastModifiedBy>WPS_1624965681</cp:lastModifiedBy>
  <dcterms:modified xsi:type="dcterms:W3CDTF">2025-03-24T10:03:27Z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26267AFD238D42AA92E5EE003C859DB3_11</vt:lpwstr>
  </property>
  <property fmtid="{D5CDD505-2E9C-101B-9397-08002B2CF9AE}" pid="4" name="KSOTemplateDocerSaveRecord">
    <vt:lpwstr>eyJoZGlkIjoiNTZjN2I0YmUxMjZhYzI3MjAxMDljNzcwZGMyMDY1ZGUiLCJ1c2VySWQiOiIxMjI2MTk3NzM4In0=</vt:lpwstr>
  </property>
</Properties>
</file>